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p>
    <w:p w:rsidR="00A107BE" w:rsidRPr="00A107BE" w:rsidRDefault="00A107BE" w:rsidP="00DA4AE3">
      <w:pPr>
        <w:rPr>
          <w:sz w:val="40"/>
          <w:szCs w:val="40"/>
        </w:rPr>
      </w:pPr>
    </w:p>
    <w:p w:rsidR="00AD3FDF" w:rsidRDefault="002F262C" w:rsidP="00AD3FDF">
      <w:pPr>
        <w:rPr>
          <w:rFonts w:cs="Arial"/>
          <w:b/>
          <w:bCs/>
          <w:sz w:val="40"/>
          <w:szCs w:val="40"/>
        </w:rPr>
      </w:pPr>
      <w:r>
        <w:rPr>
          <w:rFonts w:cs="Arial"/>
          <w:b/>
          <w:bCs/>
          <w:sz w:val="40"/>
          <w:szCs w:val="40"/>
        </w:rPr>
        <w:t>Antrag</w:t>
      </w:r>
    </w:p>
    <w:p w:rsidR="00DA4AE3" w:rsidRDefault="00DA4AE3" w:rsidP="00DA4AE3">
      <w:pPr>
        <w:rPr>
          <w:b/>
          <w:sz w:val="40"/>
          <w:szCs w:val="40"/>
        </w:rPr>
      </w:pPr>
    </w:p>
    <w:p w:rsidR="001277FB" w:rsidRDefault="00DA4AE3" w:rsidP="001277FB">
      <w:pPr>
        <w:rPr>
          <w:b/>
          <w:sz w:val="24"/>
        </w:rPr>
      </w:pPr>
      <w:r w:rsidRPr="00123A1B">
        <w:rPr>
          <w:b/>
          <w:sz w:val="24"/>
        </w:rPr>
        <w:t xml:space="preserve">der Fraktion </w:t>
      </w:r>
      <w:bookmarkStart w:id="0" w:name="partei"/>
      <w:r w:rsidR="00471C29">
        <w:rPr>
          <w:b/>
          <w:sz w:val="24"/>
        </w:rPr>
        <w:t>der PIRATEN</w:t>
      </w:r>
      <w:bookmarkEnd w:id="0"/>
    </w:p>
    <w:p w:rsidR="006C3EC5" w:rsidRDefault="006C3EC5" w:rsidP="001277FB">
      <w:pPr>
        <w:rPr>
          <w:b/>
          <w:sz w:val="24"/>
        </w:rPr>
      </w:pPr>
    </w:p>
    <w:p w:rsidR="00F976F6" w:rsidRDefault="00F976F6" w:rsidP="001277FB">
      <w:pPr>
        <w:rPr>
          <w:b/>
          <w:sz w:val="24"/>
        </w:rPr>
      </w:pPr>
    </w:p>
    <w:p w:rsidR="00A56DB3" w:rsidRPr="005D4D7C" w:rsidRDefault="0045758A" w:rsidP="00471C29">
      <w:pPr>
        <w:pStyle w:val="Default"/>
        <w:spacing w:before="240"/>
        <w:jc w:val="both"/>
        <w:rPr>
          <w:b/>
          <w:sz w:val="22"/>
          <w:szCs w:val="22"/>
        </w:rPr>
      </w:pPr>
      <w:r>
        <w:rPr>
          <w:b/>
          <w:sz w:val="22"/>
          <w:szCs w:val="22"/>
        </w:rPr>
        <w:t xml:space="preserve">Wirksame Bekämpfung von Menschenhandel nur </w:t>
      </w:r>
      <w:r w:rsidR="006555C8">
        <w:rPr>
          <w:b/>
          <w:sz w:val="22"/>
          <w:szCs w:val="22"/>
        </w:rPr>
        <w:t xml:space="preserve">in Verbindung </w:t>
      </w:r>
      <w:r>
        <w:rPr>
          <w:b/>
          <w:sz w:val="22"/>
          <w:szCs w:val="22"/>
        </w:rPr>
        <w:t xml:space="preserve">mit nachhaltigen Maßnahmen zum Schutz und zur Unterstützung der </w:t>
      </w:r>
      <w:r w:rsidR="003D1D95">
        <w:rPr>
          <w:b/>
          <w:sz w:val="22"/>
          <w:szCs w:val="22"/>
        </w:rPr>
        <w:t>Betroffenen</w:t>
      </w:r>
      <w:r>
        <w:rPr>
          <w:b/>
          <w:sz w:val="22"/>
          <w:szCs w:val="22"/>
        </w:rPr>
        <w:t xml:space="preserve"> möglich –</w:t>
      </w:r>
      <w:r w:rsidR="00F71357">
        <w:rPr>
          <w:b/>
          <w:sz w:val="22"/>
          <w:szCs w:val="22"/>
        </w:rPr>
        <w:t xml:space="preserve"> </w:t>
      </w:r>
      <w:r w:rsidR="006D0D61">
        <w:rPr>
          <w:b/>
          <w:sz w:val="22"/>
          <w:szCs w:val="22"/>
        </w:rPr>
        <w:t>Richtlinienkonforme Umsetzung der Ri</w:t>
      </w:r>
      <w:r>
        <w:rPr>
          <w:b/>
          <w:sz w:val="22"/>
          <w:szCs w:val="22"/>
        </w:rPr>
        <w:t xml:space="preserve">chtlinie 2011/36/EU </w:t>
      </w:r>
    </w:p>
    <w:p w:rsidR="00EF523E" w:rsidRPr="00EF523E" w:rsidRDefault="00EF523E" w:rsidP="00EF523E">
      <w:pPr>
        <w:pStyle w:val="Default"/>
        <w:tabs>
          <w:tab w:val="left" w:pos="284"/>
        </w:tabs>
        <w:jc w:val="both"/>
        <w:rPr>
          <w:bCs/>
          <w:sz w:val="22"/>
          <w:szCs w:val="22"/>
        </w:rPr>
      </w:pPr>
    </w:p>
    <w:p w:rsidR="00265B6B" w:rsidRPr="00730E3F" w:rsidRDefault="00741DC0" w:rsidP="006D0D61">
      <w:pPr>
        <w:pStyle w:val="Default"/>
        <w:numPr>
          <w:ilvl w:val="0"/>
          <w:numId w:val="13"/>
        </w:numPr>
        <w:tabs>
          <w:tab w:val="left" w:pos="284"/>
        </w:tabs>
        <w:spacing w:before="240"/>
        <w:ind w:hanging="218"/>
        <w:jc w:val="both"/>
        <w:rPr>
          <w:b/>
          <w:bCs/>
          <w:sz w:val="22"/>
          <w:szCs w:val="22"/>
        </w:rPr>
      </w:pPr>
      <w:r>
        <w:rPr>
          <w:b/>
          <w:bCs/>
          <w:sz w:val="22"/>
          <w:szCs w:val="22"/>
        </w:rPr>
        <w:t>Menschenhandel in NRW bedeutet Verbrechen im Dunkelfeld</w:t>
      </w:r>
      <w:r w:rsidR="00182061">
        <w:rPr>
          <w:b/>
          <w:bCs/>
          <w:sz w:val="22"/>
          <w:szCs w:val="22"/>
        </w:rPr>
        <w:t xml:space="preserve"> </w:t>
      </w:r>
    </w:p>
    <w:p w:rsidR="00A602A9" w:rsidRDefault="00835CCC" w:rsidP="002479C7">
      <w:pPr>
        <w:pStyle w:val="Default"/>
        <w:tabs>
          <w:tab w:val="left" w:pos="284"/>
        </w:tabs>
        <w:spacing w:before="240"/>
        <w:jc w:val="both"/>
        <w:rPr>
          <w:bCs/>
          <w:sz w:val="22"/>
          <w:szCs w:val="22"/>
        </w:rPr>
      </w:pPr>
      <w:r>
        <w:rPr>
          <w:bCs/>
          <w:sz w:val="22"/>
          <w:szCs w:val="22"/>
        </w:rPr>
        <w:t>Die im Lagebild des Landeskriminalamtes</w:t>
      </w:r>
      <w:r w:rsidR="0039676F">
        <w:rPr>
          <w:bCs/>
          <w:sz w:val="22"/>
          <w:szCs w:val="22"/>
        </w:rPr>
        <w:t xml:space="preserve"> NRW</w:t>
      </w:r>
      <w:r>
        <w:rPr>
          <w:bCs/>
          <w:sz w:val="22"/>
          <w:szCs w:val="22"/>
        </w:rPr>
        <w:t xml:space="preserve"> </w:t>
      </w:r>
      <w:r w:rsidR="005369FD">
        <w:rPr>
          <w:bCs/>
          <w:sz w:val="22"/>
          <w:szCs w:val="22"/>
        </w:rPr>
        <w:t>dargelegten</w:t>
      </w:r>
      <w:r>
        <w:rPr>
          <w:bCs/>
          <w:sz w:val="22"/>
          <w:szCs w:val="22"/>
        </w:rPr>
        <w:t xml:space="preserve"> rückläufigen Zahlen</w:t>
      </w:r>
      <w:r w:rsidR="001A02F5">
        <w:rPr>
          <w:bCs/>
          <w:sz w:val="22"/>
          <w:szCs w:val="22"/>
        </w:rPr>
        <w:t xml:space="preserve"> im Jahr</w:t>
      </w:r>
      <w:r w:rsidR="00902419">
        <w:rPr>
          <w:bCs/>
          <w:sz w:val="22"/>
          <w:szCs w:val="22"/>
        </w:rPr>
        <w:t xml:space="preserve"> 2011</w:t>
      </w:r>
      <w:r>
        <w:rPr>
          <w:bCs/>
          <w:sz w:val="22"/>
          <w:szCs w:val="22"/>
        </w:rPr>
        <w:t xml:space="preserve"> </w:t>
      </w:r>
      <w:r w:rsidR="00FC41B4">
        <w:rPr>
          <w:bCs/>
          <w:sz w:val="22"/>
          <w:szCs w:val="22"/>
        </w:rPr>
        <w:t>bestätigen</w:t>
      </w:r>
      <w:r w:rsidR="0039676F">
        <w:rPr>
          <w:bCs/>
          <w:sz w:val="22"/>
          <w:szCs w:val="22"/>
        </w:rPr>
        <w:t xml:space="preserve"> die große Besorgnis darü</w:t>
      </w:r>
      <w:r w:rsidR="001A02F5">
        <w:rPr>
          <w:bCs/>
          <w:sz w:val="22"/>
          <w:szCs w:val="22"/>
        </w:rPr>
        <w:t xml:space="preserve">ber, dass die Aussagebereitschaft der </w:t>
      </w:r>
      <w:r w:rsidR="003032A0">
        <w:rPr>
          <w:bCs/>
          <w:sz w:val="22"/>
          <w:szCs w:val="22"/>
        </w:rPr>
        <w:t xml:space="preserve">von Menschenhandel </w:t>
      </w:r>
      <w:r w:rsidR="00C155EA">
        <w:rPr>
          <w:bCs/>
          <w:sz w:val="22"/>
          <w:szCs w:val="22"/>
        </w:rPr>
        <w:t>b</w:t>
      </w:r>
      <w:r w:rsidR="003D1D95">
        <w:rPr>
          <w:bCs/>
          <w:sz w:val="22"/>
          <w:szCs w:val="22"/>
        </w:rPr>
        <w:t>etroffenen</w:t>
      </w:r>
      <w:r w:rsidR="004D40DD">
        <w:rPr>
          <w:bCs/>
          <w:sz w:val="22"/>
          <w:szCs w:val="22"/>
        </w:rPr>
        <w:t xml:space="preserve"> </w:t>
      </w:r>
      <w:r w:rsidR="00A602A9">
        <w:rPr>
          <w:bCs/>
          <w:sz w:val="22"/>
          <w:szCs w:val="22"/>
        </w:rPr>
        <w:t>Kinder</w:t>
      </w:r>
      <w:r w:rsidR="004D40DD">
        <w:rPr>
          <w:bCs/>
          <w:sz w:val="22"/>
          <w:szCs w:val="22"/>
        </w:rPr>
        <w:t>, Frauen und Männer</w:t>
      </w:r>
      <w:r w:rsidR="003D1D95">
        <w:rPr>
          <w:bCs/>
          <w:sz w:val="22"/>
          <w:szCs w:val="22"/>
        </w:rPr>
        <w:t xml:space="preserve"> </w:t>
      </w:r>
      <w:r w:rsidR="00012ECC">
        <w:rPr>
          <w:bCs/>
          <w:sz w:val="22"/>
          <w:szCs w:val="22"/>
        </w:rPr>
        <w:t xml:space="preserve">zunehmend </w:t>
      </w:r>
      <w:r w:rsidR="001A02F5">
        <w:rPr>
          <w:bCs/>
          <w:sz w:val="22"/>
          <w:szCs w:val="22"/>
        </w:rPr>
        <w:t>seltener geworden ist</w:t>
      </w:r>
      <w:r>
        <w:rPr>
          <w:bCs/>
          <w:sz w:val="22"/>
          <w:szCs w:val="22"/>
        </w:rPr>
        <w:t>.</w:t>
      </w:r>
      <w:r w:rsidR="0039676F">
        <w:rPr>
          <w:bCs/>
          <w:sz w:val="22"/>
          <w:szCs w:val="22"/>
        </w:rPr>
        <w:t xml:space="preserve"> </w:t>
      </w:r>
      <w:r w:rsidR="007A3323">
        <w:rPr>
          <w:bCs/>
          <w:sz w:val="22"/>
          <w:szCs w:val="22"/>
        </w:rPr>
        <w:t xml:space="preserve">Im Jahr 2011 gab es in NRW nur 95 Verfahren, bei denen es um Menschenhandel zum Zweck der sexuellen Ausbeutung ging. Im Jahr zuvor waren es </w:t>
      </w:r>
      <w:r w:rsidR="00012ECC">
        <w:rPr>
          <w:bCs/>
          <w:sz w:val="22"/>
          <w:szCs w:val="22"/>
        </w:rPr>
        <w:t xml:space="preserve">noch </w:t>
      </w:r>
      <w:r w:rsidR="007A3323">
        <w:rPr>
          <w:bCs/>
          <w:sz w:val="22"/>
          <w:szCs w:val="22"/>
        </w:rPr>
        <w:t xml:space="preserve">131 Verfahren. Die Zahl der Opfer sank von 147 auf 113, die der Tatverdächtigen von 182 auf 148. </w:t>
      </w:r>
      <w:r w:rsidR="00902419">
        <w:rPr>
          <w:bCs/>
          <w:sz w:val="22"/>
          <w:szCs w:val="22"/>
        </w:rPr>
        <w:t xml:space="preserve">Dies bedeutet jedoch keinesfalls, dass ein Rückgang dieser menschenverachtenden Form der Kriminalität </w:t>
      </w:r>
      <w:r w:rsidR="00E5708B">
        <w:rPr>
          <w:bCs/>
          <w:sz w:val="22"/>
          <w:szCs w:val="22"/>
        </w:rPr>
        <w:t>zu verzeichnen war</w:t>
      </w:r>
      <w:r w:rsidR="00902419">
        <w:rPr>
          <w:bCs/>
          <w:sz w:val="22"/>
          <w:szCs w:val="22"/>
        </w:rPr>
        <w:t xml:space="preserve">. </w:t>
      </w:r>
      <w:r w:rsidR="001A02F5">
        <w:rPr>
          <w:bCs/>
          <w:sz w:val="22"/>
          <w:szCs w:val="22"/>
        </w:rPr>
        <w:t xml:space="preserve">Die Kooperation mit den Betroffenen ist </w:t>
      </w:r>
      <w:r w:rsidR="00902419">
        <w:rPr>
          <w:bCs/>
          <w:sz w:val="22"/>
          <w:szCs w:val="22"/>
        </w:rPr>
        <w:t xml:space="preserve">einfach </w:t>
      </w:r>
      <w:r w:rsidR="001A02F5">
        <w:rPr>
          <w:bCs/>
          <w:sz w:val="22"/>
          <w:szCs w:val="22"/>
        </w:rPr>
        <w:t xml:space="preserve">schwieriger geworden und eine wirksame Bekämpfung des Meschenhandels somit </w:t>
      </w:r>
      <w:r w:rsidR="00902419">
        <w:rPr>
          <w:bCs/>
          <w:sz w:val="22"/>
          <w:szCs w:val="22"/>
        </w:rPr>
        <w:t>erschwert</w:t>
      </w:r>
      <w:r w:rsidR="00052794">
        <w:rPr>
          <w:bCs/>
          <w:sz w:val="22"/>
          <w:szCs w:val="22"/>
        </w:rPr>
        <w:t xml:space="preserve"> (n</w:t>
      </w:r>
      <w:r w:rsidR="007A3323">
        <w:rPr>
          <w:bCs/>
          <w:sz w:val="22"/>
          <w:szCs w:val="22"/>
        </w:rPr>
        <w:t xml:space="preserve">ach 62 Hinweisen und Anzeigen im Jahr 2010, waren es </w:t>
      </w:r>
      <w:r w:rsidR="00656DE9">
        <w:rPr>
          <w:bCs/>
          <w:sz w:val="22"/>
          <w:szCs w:val="22"/>
        </w:rPr>
        <w:t xml:space="preserve">im Jahr </w:t>
      </w:r>
      <w:r w:rsidR="007A3323">
        <w:rPr>
          <w:bCs/>
          <w:sz w:val="22"/>
          <w:szCs w:val="22"/>
        </w:rPr>
        <w:t xml:space="preserve">2011 nur noch </w:t>
      </w:r>
      <w:r w:rsidR="007A3323" w:rsidRPr="007E5C6E">
        <w:rPr>
          <w:bCs/>
          <w:sz w:val="22"/>
          <w:szCs w:val="22"/>
        </w:rPr>
        <w:t>28</w:t>
      </w:r>
      <w:r w:rsidR="00052794">
        <w:rPr>
          <w:bCs/>
          <w:sz w:val="22"/>
          <w:szCs w:val="22"/>
        </w:rPr>
        <w:t>)</w:t>
      </w:r>
      <w:r w:rsidR="007A3323">
        <w:rPr>
          <w:bCs/>
          <w:sz w:val="22"/>
          <w:szCs w:val="22"/>
        </w:rPr>
        <w:t xml:space="preserve">. </w:t>
      </w:r>
    </w:p>
    <w:p w:rsidR="00766AED" w:rsidRDefault="001A02F5" w:rsidP="00EF523E">
      <w:pPr>
        <w:pStyle w:val="Default"/>
        <w:tabs>
          <w:tab w:val="left" w:pos="284"/>
        </w:tabs>
        <w:spacing w:before="240"/>
        <w:jc w:val="both"/>
        <w:rPr>
          <w:bCs/>
          <w:sz w:val="22"/>
          <w:szCs w:val="22"/>
        </w:rPr>
      </w:pPr>
      <w:r>
        <w:rPr>
          <w:bCs/>
          <w:sz w:val="22"/>
          <w:szCs w:val="22"/>
        </w:rPr>
        <w:t xml:space="preserve">Diese </w:t>
      </w:r>
      <w:r w:rsidR="00052794">
        <w:rPr>
          <w:bCs/>
          <w:sz w:val="22"/>
          <w:szCs w:val="22"/>
        </w:rPr>
        <w:t>dramatische</w:t>
      </w:r>
      <w:r w:rsidR="00656DE9">
        <w:rPr>
          <w:bCs/>
          <w:sz w:val="22"/>
          <w:szCs w:val="22"/>
        </w:rPr>
        <w:t xml:space="preserve"> </w:t>
      </w:r>
      <w:r>
        <w:rPr>
          <w:bCs/>
          <w:sz w:val="22"/>
          <w:szCs w:val="22"/>
        </w:rPr>
        <w:t xml:space="preserve">Entwicklung </w:t>
      </w:r>
      <w:r w:rsidR="00987888">
        <w:rPr>
          <w:bCs/>
          <w:sz w:val="22"/>
          <w:szCs w:val="22"/>
        </w:rPr>
        <w:t xml:space="preserve">hängt </w:t>
      </w:r>
      <w:r w:rsidR="007A3323">
        <w:rPr>
          <w:bCs/>
          <w:sz w:val="22"/>
          <w:szCs w:val="22"/>
        </w:rPr>
        <w:t>auch</w:t>
      </w:r>
      <w:r w:rsidR="00987888">
        <w:rPr>
          <w:bCs/>
          <w:sz w:val="22"/>
          <w:szCs w:val="22"/>
        </w:rPr>
        <w:t xml:space="preserve"> damit zusammen</w:t>
      </w:r>
      <w:r>
        <w:rPr>
          <w:bCs/>
          <w:sz w:val="22"/>
          <w:szCs w:val="22"/>
        </w:rPr>
        <w:t xml:space="preserve">, dass der Kampf gegen Menschenhandel immer noch primär als Kriminalitätsbekämpfung verstanden wird. </w:t>
      </w:r>
      <w:r w:rsidR="00C155EA">
        <w:rPr>
          <w:bCs/>
          <w:sz w:val="22"/>
          <w:szCs w:val="22"/>
        </w:rPr>
        <w:t xml:space="preserve">Danach </w:t>
      </w:r>
      <w:r w:rsidR="002479C7">
        <w:rPr>
          <w:bCs/>
          <w:sz w:val="22"/>
          <w:szCs w:val="22"/>
        </w:rPr>
        <w:t xml:space="preserve">sehen </w:t>
      </w:r>
      <w:r w:rsidR="002479C7" w:rsidRPr="002479C7">
        <w:rPr>
          <w:bCs/>
          <w:sz w:val="22"/>
          <w:szCs w:val="22"/>
        </w:rPr>
        <w:t xml:space="preserve">Polizei, Staatsanwaltschaften und </w:t>
      </w:r>
      <w:r w:rsidR="002479C7">
        <w:rPr>
          <w:bCs/>
          <w:sz w:val="22"/>
          <w:szCs w:val="22"/>
        </w:rPr>
        <w:t>Gerichte</w:t>
      </w:r>
      <w:r w:rsidR="002479C7" w:rsidRPr="002479C7">
        <w:rPr>
          <w:bCs/>
          <w:sz w:val="22"/>
          <w:szCs w:val="22"/>
        </w:rPr>
        <w:t xml:space="preserve"> die Betroffenen von Menschenhandel vorrangig als</w:t>
      </w:r>
      <w:r w:rsidR="003C0DC6">
        <w:rPr>
          <w:bCs/>
          <w:sz w:val="22"/>
          <w:szCs w:val="22"/>
        </w:rPr>
        <w:t xml:space="preserve"> Zeuginnen und Zeugen im Rahmen</w:t>
      </w:r>
      <w:r w:rsidR="002479C7" w:rsidRPr="002479C7">
        <w:rPr>
          <w:bCs/>
          <w:sz w:val="22"/>
          <w:szCs w:val="22"/>
        </w:rPr>
        <w:t xml:space="preserve"> der Strafverfolgung gegen die Täter oder als Beschuldigte </w:t>
      </w:r>
      <w:r w:rsidR="003C0DC6">
        <w:rPr>
          <w:bCs/>
          <w:sz w:val="22"/>
          <w:szCs w:val="22"/>
        </w:rPr>
        <w:t>auf Grund ihres</w:t>
      </w:r>
      <w:r w:rsidR="002479C7" w:rsidRPr="002479C7">
        <w:rPr>
          <w:bCs/>
          <w:sz w:val="22"/>
          <w:szCs w:val="22"/>
        </w:rPr>
        <w:t xml:space="preserve"> illegalen Aufenthaltes.</w:t>
      </w:r>
      <w:r w:rsidR="003C0DC6">
        <w:rPr>
          <w:bCs/>
          <w:sz w:val="22"/>
          <w:szCs w:val="22"/>
        </w:rPr>
        <w:t xml:space="preserve"> Zwischen Verbrechensbekämpfung</w:t>
      </w:r>
      <w:r w:rsidR="00A602A9">
        <w:rPr>
          <w:bCs/>
          <w:sz w:val="22"/>
          <w:szCs w:val="22"/>
        </w:rPr>
        <w:t>, Sicherheits-</w:t>
      </w:r>
      <w:r w:rsidR="003C0DC6">
        <w:rPr>
          <w:bCs/>
          <w:sz w:val="22"/>
          <w:szCs w:val="22"/>
        </w:rPr>
        <w:t xml:space="preserve"> und Migrationspolitik fehlt es an der</w:t>
      </w:r>
      <w:r w:rsidR="00BB7F89">
        <w:rPr>
          <w:bCs/>
          <w:sz w:val="22"/>
          <w:szCs w:val="22"/>
        </w:rPr>
        <w:t xml:space="preserve"> Wahrnehmung der Betroffenen als Rechtssubjekte.</w:t>
      </w:r>
      <w:r w:rsidR="00A602A9">
        <w:rPr>
          <w:bCs/>
          <w:sz w:val="22"/>
          <w:szCs w:val="22"/>
        </w:rPr>
        <w:t xml:space="preserve"> </w:t>
      </w:r>
      <w:r w:rsidR="00F94839">
        <w:rPr>
          <w:bCs/>
          <w:sz w:val="22"/>
          <w:szCs w:val="22"/>
        </w:rPr>
        <w:t xml:space="preserve">Da verwundert es nicht, dass </w:t>
      </w:r>
      <w:r w:rsidR="00EF523E">
        <w:rPr>
          <w:bCs/>
          <w:sz w:val="22"/>
          <w:szCs w:val="22"/>
        </w:rPr>
        <w:t xml:space="preserve">sich </w:t>
      </w:r>
      <w:r w:rsidR="00F94839">
        <w:rPr>
          <w:bCs/>
          <w:sz w:val="22"/>
          <w:szCs w:val="22"/>
        </w:rPr>
        <w:t xml:space="preserve">das Misstrauen der Betroffenen in staatliche </w:t>
      </w:r>
      <w:r w:rsidR="00BA6689">
        <w:rPr>
          <w:bCs/>
          <w:sz w:val="22"/>
          <w:szCs w:val="22"/>
        </w:rPr>
        <w:t>„Hilfe“</w:t>
      </w:r>
      <w:r w:rsidR="00F94839">
        <w:rPr>
          <w:bCs/>
          <w:sz w:val="22"/>
          <w:szCs w:val="22"/>
        </w:rPr>
        <w:t xml:space="preserve"> verstärkt. </w:t>
      </w:r>
      <w:r w:rsidR="00A602A9">
        <w:rPr>
          <w:bCs/>
          <w:sz w:val="22"/>
          <w:szCs w:val="22"/>
        </w:rPr>
        <w:t>Rechte auf (vorübergehenden) Aufenthalt, sichere Unterbringung, materielle und psychosoziale Unterstützung, Entlohnung und Entschädigung können die Betroffenen nur wahrnehmen, wenn sie als Zeuginnen oder Zeugen zu einer Aussage bereit sind.</w:t>
      </w:r>
      <w:r w:rsidR="009A58C8">
        <w:rPr>
          <w:bCs/>
          <w:sz w:val="22"/>
          <w:szCs w:val="22"/>
        </w:rPr>
        <w:t xml:space="preserve"> </w:t>
      </w:r>
      <w:r w:rsidR="00741778">
        <w:rPr>
          <w:bCs/>
          <w:sz w:val="22"/>
          <w:szCs w:val="22"/>
        </w:rPr>
        <w:t>Als ersten Schritt</w:t>
      </w:r>
      <w:r w:rsidR="009A58C8">
        <w:rPr>
          <w:bCs/>
          <w:sz w:val="22"/>
          <w:szCs w:val="22"/>
        </w:rPr>
        <w:t xml:space="preserve"> ist</w:t>
      </w:r>
      <w:r w:rsidR="00741778">
        <w:rPr>
          <w:bCs/>
          <w:sz w:val="22"/>
          <w:szCs w:val="22"/>
        </w:rPr>
        <w:t xml:space="preserve"> es</w:t>
      </w:r>
      <w:r w:rsidR="009A58C8">
        <w:rPr>
          <w:bCs/>
          <w:sz w:val="22"/>
          <w:szCs w:val="22"/>
        </w:rPr>
        <w:t xml:space="preserve"> dah</w:t>
      </w:r>
      <w:r w:rsidR="00394B3E">
        <w:rPr>
          <w:bCs/>
          <w:sz w:val="22"/>
          <w:szCs w:val="22"/>
        </w:rPr>
        <w:t xml:space="preserve">er notwendig, </w:t>
      </w:r>
      <w:r w:rsidR="00741778">
        <w:rPr>
          <w:bCs/>
          <w:sz w:val="22"/>
          <w:szCs w:val="22"/>
        </w:rPr>
        <w:t>Aufenthaltsmöglichkeit</w:t>
      </w:r>
      <w:r w:rsidR="007640FC">
        <w:rPr>
          <w:bCs/>
          <w:sz w:val="22"/>
          <w:szCs w:val="22"/>
        </w:rPr>
        <w:t xml:space="preserve"> und/oder Schutzmaßnahmen</w:t>
      </w:r>
      <w:r w:rsidR="00394B3E">
        <w:rPr>
          <w:bCs/>
          <w:sz w:val="22"/>
          <w:szCs w:val="22"/>
        </w:rPr>
        <w:t xml:space="preserve"> unabhängig davon zu </w:t>
      </w:r>
      <w:r w:rsidR="00182061">
        <w:rPr>
          <w:bCs/>
          <w:sz w:val="22"/>
          <w:szCs w:val="22"/>
        </w:rPr>
        <w:t>gewährleisten</w:t>
      </w:r>
      <w:r w:rsidR="00394B3E">
        <w:rPr>
          <w:bCs/>
          <w:sz w:val="22"/>
          <w:szCs w:val="22"/>
        </w:rPr>
        <w:t xml:space="preserve">, ob die Betroffenen sich dazu entscheiden eine Zeugenaussage zu machen oder nicht. Einerseits verhindert dies das Risiko, die Betroffenen </w:t>
      </w:r>
      <w:r w:rsidR="00741778">
        <w:rPr>
          <w:bCs/>
          <w:sz w:val="22"/>
          <w:szCs w:val="22"/>
        </w:rPr>
        <w:t>für die strafprozessrechtliche</w:t>
      </w:r>
      <w:r w:rsidR="00394B3E">
        <w:rPr>
          <w:bCs/>
          <w:sz w:val="22"/>
          <w:szCs w:val="22"/>
        </w:rPr>
        <w:t xml:space="preserve"> Verfolgung zu instrumentalisieren</w:t>
      </w:r>
      <w:r w:rsidR="00EF523E">
        <w:rPr>
          <w:bCs/>
          <w:sz w:val="22"/>
          <w:szCs w:val="22"/>
        </w:rPr>
        <w:t xml:space="preserve">. </w:t>
      </w:r>
      <w:r w:rsidR="00394B3E">
        <w:rPr>
          <w:bCs/>
          <w:sz w:val="22"/>
          <w:szCs w:val="22"/>
        </w:rPr>
        <w:t>Anderseits kann dem Vorwurf entgegengetreten werden, die Aussage der Opferzeug</w:t>
      </w:r>
      <w:r w:rsidR="00FD6D2B">
        <w:rPr>
          <w:bCs/>
          <w:sz w:val="22"/>
          <w:szCs w:val="22"/>
        </w:rPr>
        <w:t>en</w:t>
      </w:r>
      <w:r w:rsidR="00394B3E">
        <w:rPr>
          <w:bCs/>
          <w:sz w:val="22"/>
          <w:szCs w:val="22"/>
        </w:rPr>
        <w:t xml:space="preserve"> sei durch bestimmte Maßnahmen „erkauft“ worden. </w:t>
      </w:r>
    </w:p>
    <w:p w:rsidR="000A7C00" w:rsidRPr="000A7C00" w:rsidRDefault="000A7C00" w:rsidP="006D0D61">
      <w:pPr>
        <w:pStyle w:val="Default"/>
        <w:numPr>
          <w:ilvl w:val="0"/>
          <w:numId w:val="13"/>
        </w:numPr>
        <w:tabs>
          <w:tab w:val="left" w:pos="284"/>
        </w:tabs>
        <w:spacing w:before="240"/>
        <w:ind w:left="284" w:hanging="142"/>
        <w:jc w:val="both"/>
        <w:rPr>
          <w:b/>
          <w:bCs/>
          <w:sz w:val="22"/>
          <w:szCs w:val="22"/>
        </w:rPr>
      </w:pPr>
      <w:r w:rsidRPr="000A7C00">
        <w:rPr>
          <w:b/>
          <w:bCs/>
          <w:sz w:val="22"/>
          <w:szCs w:val="22"/>
        </w:rPr>
        <w:lastRenderedPageBreak/>
        <w:t>Entkoppelung von Aufenthaltserlaubnis und</w:t>
      </w:r>
      <w:r>
        <w:rPr>
          <w:b/>
          <w:bCs/>
          <w:sz w:val="22"/>
          <w:szCs w:val="22"/>
        </w:rPr>
        <w:t>/oder</w:t>
      </w:r>
      <w:r w:rsidRPr="000A7C00">
        <w:rPr>
          <w:b/>
          <w:bCs/>
          <w:sz w:val="22"/>
          <w:szCs w:val="22"/>
        </w:rPr>
        <w:t xml:space="preserve"> Schutzmaßnahmen von der Kooperationsbereitschaft der Betroffenen</w:t>
      </w:r>
    </w:p>
    <w:p w:rsidR="000A7C00" w:rsidRPr="000A7C00" w:rsidRDefault="000A7C00" w:rsidP="000A7C00">
      <w:pPr>
        <w:pStyle w:val="Default"/>
        <w:tabs>
          <w:tab w:val="left" w:pos="284"/>
        </w:tabs>
        <w:spacing w:before="240"/>
        <w:jc w:val="both"/>
        <w:rPr>
          <w:bCs/>
          <w:sz w:val="22"/>
          <w:szCs w:val="22"/>
        </w:rPr>
      </w:pPr>
      <w:r w:rsidRPr="000A7C00">
        <w:rPr>
          <w:bCs/>
          <w:sz w:val="22"/>
          <w:szCs w:val="22"/>
        </w:rPr>
        <w:t xml:space="preserve">Im Rahmen eines öffentlichen Fachgesprächs des Bundestagsausschusses für Familie, Senioren, Frauen und Jugend am 19. März 2012 zu dem Gesetzentwurf der Bundesregierung </w:t>
      </w:r>
      <w:r w:rsidRPr="000A7C00">
        <w:rPr>
          <w:bCs/>
          <w:i/>
          <w:sz w:val="22"/>
          <w:szCs w:val="22"/>
        </w:rPr>
        <w:t>Entwurf eines Gesetzes zu dem Übereinkommen des Europarats vom 16. Mai 2005 zur Bekämpfung des Menschenhandels</w:t>
      </w:r>
      <w:r w:rsidRPr="000A7C00">
        <w:rPr>
          <w:bCs/>
          <w:sz w:val="22"/>
          <w:szCs w:val="22"/>
        </w:rPr>
        <w:t xml:space="preserve"> waren sich die Experten einig, dass das Aufenthaltsrecht Dreh- und Angelpunkt für die Verbesserung der sozialen, aber auch rechtlichen Lage der von Menschenhandel Betroffenen ist. Dabei könnte das „Italienische Modell“ als Vorlage dienen. Es sieht im Wesentlichen die Abkoppelung des Aufenthaltsrechtes von Opfern des Menschenhandels von ihrer Aussagebereitschaft bei den Strafverfolgungsbehörden vor. Die damit verbundene Skepsis, dass Betroffene ihre Notsituation nur vortäuschen, um die Schutzmaßnahmen in Anspruch nehmen zu können, wurde bislang weder in Italien noch in anderen Ländern mit ähnlichen Systemen wie z.B. in den Niederlanden, festgestellt.</w:t>
      </w:r>
      <w:r w:rsidR="00A75140">
        <w:rPr>
          <w:bCs/>
          <w:sz w:val="22"/>
          <w:szCs w:val="22"/>
        </w:rPr>
        <w:t xml:space="preserve"> Eine aufenthaltsrechtliche Regelung unabhängig von der Kooperationsbereitschaft ist jedenfalls unerlässlich und aus humanitären Gründen geboten, um den Betroffenen die notwendige Unterstützung und Betreuung zu ermöglichen. </w:t>
      </w:r>
      <w:r w:rsidR="006171CF">
        <w:rPr>
          <w:bCs/>
          <w:sz w:val="22"/>
          <w:szCs w:val="22"/>
        </w:rPr>
        <w:t>So bestätigte es auch der Petitionsausschuss im Bundestag.</w:t>
      </w:r>
      <w:r w:rsidR="006A1C18">
        <w:rPr>
          <w:bCs/>
          <w:sz w:val="22"/>
          <w:szCs w:val="22"/>
        </w:rPr>
        <w:t xml:space="preserve"> </w:t>
      </w:r>
    </w:p>
    <w:p w:rsidR="000A7C00" w:rsidRDefault="000A7C00" w:rsidP="000A7C00">
      <w:pPr>
        <w:pStyle w:val="Default"/>
        <w:tabs>
          <w:tab w:val="left" w:pos="284"/>
        </w:tabs>
        <w:spacing w:before="240"/>
        <w:jc w:val="both"/>
        <w:rPr>
          <w:bCs/>
          <w:sz w:val="22"/>
          <w:szCs w:val="22"/>
        </w:rPr>
      </w:pPr>
      <w:r w:rsidRPr="000A7C00">
        <w:rPr>
          <w:bCs/>
          <w:sz w:val="22"/>
          <w:szCs w:val="22"/>
        </w:rPr>
        <w:t>In der Richtlinie 2011/36/EU werden Fragen zum Aufenthaltsstatus der Betroffenen nicht geregelt. Zu diesem Zweck wird in Erwägungsgrund 17 auf die Ric</w:t>
      </w:r>
      <w:r w:rsidR="00E82FA6">
        <w:rPr>
          <w:bCs/>
          <w:sz w:val="22"/>
          <w:szCs w:val="22"/>
        </w:rPr>
        <w:t>htlinien 2004/81/EG</w:t>
      </w:r>
      <w:r w:rsidR="00EC1D5E">
        <w:rPr>
          <w:bCs/>
          <w:sz w:val="22"/>
          <w:szCs w:val="22"/>
        </w:rPr>
        <w:t xml:space="preserve"> </w:t>
      </w:r>
      <w:r w:rsidR="00E82FA6">
        <w:rPr>
          <w:bCs/>
          <w:sz w:val="22"/>
          <w:szCs w:val="22"/>
        </w:rPr>
        <w:t>und 2004/38/</w:t>
      </w:r>
      <w:r w:rsidRPr="000A7C00">
        <w:rPr>
          <w:bCs/>
          <w:sz w:val="22"/>
          <w:szCs w:val="22"/>
        </w:rPr>
        <w:t>EG</w:t>
      </w:r>
      <w:r w:rsidR="00EC1D5E">
        <w:rPr>
          <w:bCs/>
          <w:sz w:val="22"/>
          <w:szCs w:val="22"/>
        </w:rPr>
        <w:t xml:space="preserve"> </w:t>
      </w:r>
      <w:r w:rsidR="00EC1D5E" w:rsidRPr="00EC1D5E">
        <w:rPr>
          <w:bCs/>
          <w:sz w:val="22"/>
          <w:szCs w:val="22"/>
        </w:rPr>
        <w:t>(Umsetzung in Deutschland mit dem Gesetz zur Umsetzung aufenthalts- und asylrechtlicher Richtlinien der Europäischen Union vom 19. August 2007 (Richtlinienumsetzungsges</w:t>
      </w:r>
      <w:r w:rsidR="00EC1D5E">
        <w:rPr>
          <w:bCs/>
          <w:sz w:val="22"/>
          <w:szCs w:val="22"/>
        </w:rPr>
        <w:t>etz), in Kraft seit 28.08.2007)</w:t>
      </w:r>
      <w:r w:rsidRPr="000A7C00">
        <w:rPr>
          <w:bCs/>
          <w:sz w:val="22"/>
          <w:szCs w:val="22"/>
        </w:rPr>
        <w:t xml:space="preserve"> verwiesen. Die </w:t>
      </w:r>
      <w:r w:rsidR="00EC1D5E">
        <w:rPr>
          <w:bCs/>
          <w:sz w:val="22"/>
          <w:szCs w:val="22"/>
        </w:rPr>
        <w:t xml:space="preserve">vorliegende </w:t>
      </w:r>
      <w:r w:rsidRPr="000A7C00">
        <w:rPr>
          <w:bCs/>
          <w:sz w:val="22"/>
          <w:szCs w:val="22"/>
        </w:rPr>
        <w:t>Richtlinie erfasst jedoch Schutzmaßnahmen für Opfer von Menschenhandel unabhängig von ihrer Kooperationsbereitschaft.</w:t>
      </w:r>
      <w:r w:rsidR="00E82FA6">
        <w:rPr>
          <w:bCs/>
          <w:sz w:val="22"/>
          <w:szCs w:val="22"/>
        </w:rPr>
        <w:t xml:space="preserve"> Dieser Ansatz genügt menschenrechtlichen Grundsätzen und ist für die Gewinn</w:t>
      </w:r>
      <w:r w:rsidR="00A75140">
        <w:rPr>
          <w:bCs/>
          <w:sz w:val="22"/>
          <w:szCs w:val="22"/>
        </w:rPr>
        <w:t>u</w:t>
      </w:r>
      <w:r w:rsidR="00E82FA6">
        <w:rPr>
          <w:bCs/>
          <w:sz w:val="22"/>
          <w:szCs w:val="22"/>
        </w:rPr>
        <w:t>ng von Zeu</w:t>
      </w:r>
      <w:r w:rsidR="00A75140">
        <w:rPr>
          <w:bCs/>
          <w:sz w:val="22"/>
          <w:szCs w:val="22"/>
        </w:rPr>
        <w:t>g</w:t>
      </w:r>
      <w:r w:rsidR="00FD6D2B">
        <w:rPr>
          <w:bCs/>
          <w:sz w:val="22"/>
          <w:szCs w:val="22"/>
        </w:rPr>
        <w:t>en</w:t>
      </w:r>
      <w:r w:rsidR="00A75140">
        <w:rPr>
          <w:bCs/>
          <w:sz w:val="22"/>
          <w:szCs w:val="22"/>
        </w:rPr>
        <w:t xml:space="preserve"> erforderlich. </w:t>
      </w:r>
      <w:r w:rsidR="00C1597C">
        <w:rPr>
          <w:bCs/>
          <w:sz w:val="22"/>
          <w:szCs w:val="22"/>
        </w:rPr>
        <w:t xml:space="preserve">Kritisch ist dabei jedoch Erwägungsgrund 18 zu sehen, </w:t>
      </w:r>
      <w:r w:rsidR="00EC1D5E">
        <w:rPr>
          <w:bCs/>
          <w:sz w:val="22"/>
          <w:szCs w:val="22"/>
        </w:rPr>
        <w:t>wonach</w:t>
      </w:r>
      <w:r w:rsidR="00C1597C">
        <w:rPr>
          <w:bCs/>
          <w:sz w:val="22"/>
          <w:szCs w:val="22"/>
        </w:rPr>
        <w:t xml:space="preserve"> die Mitgliedstaaten nach dem Ablauf der Zeit, in der das Opfer von Menschenhandel über die mögliche Zusammenarbeit mi</w:t>
      </w:r>
      <w:r w:rsidR="009E132D">
        <w:rPr>
          <w:bCs/>
          <w:sz w:val="22"/>
          <w:szCs w:val="22"/>
        </w:rPr>
        <w:t>t</w:t>
      </w:r>
      <w:r w:rsidR="00C1597C">
        <w:rPr>
          <w:bCs/>
          <w:sz w:val="22"/>
          <w:szCs w:val="22"/>
        </w:rPr>
        <w:t xml:space="preserve"> den Strafverfolgungsbehörden nachdenkt, keine Hilfe und Unterstützung mehr für die Opfer gewähren müssen. Nur im Falle von notwe</w:t>
      </w:r>
      <w:r w:rsidR="00EC1D5E">
        <w:rPr>
          <w:bCs/>
          <w:sz w:val="22"/>
          <w:szCs w:val="22"/>
        </w:rPr>
        <w:t xml:space="preserve">ndiger medizinischer Hilfe soll diese weiter gewährt werden. </w:t>
      </w:r>
      <w:r w:rsidR="009E132D">
        <w:rPr>
          <w:bCs/>
          <w:sz w:val="22"/>
          <w:szCs w:val="22"/>
        </w:rPr>
        <w:t>Eine effektive Strafverfolgung setzt jedoch voraus, dass die Betroffenen, die in Strafverfahren als Zeug</w:t>
      </w:r>
      <w:r w:rsidR="00FD6D2B">
        <w:rPr>
          <w:bCs/>
          <w:sz w:val="22"/>
          <w:szCs w:val="22"/>
        </w:rPr>
        <w:t>en</w:t>
      </w:r>
      <w:r w:rsidR="009E132D">
        <w:rPr>
          <w:bCs/>
          <w:sz w:val="22"/>
          <w:szCs w:val="22"/>
        </w:rPr>
        <w:t xml:space="preserve"> aussagen, ein Aufenthaltsrecht in Deutschland über die Dauer des Strafverfahrens hinaus erhalten. </w:t>
      </w:r>
      <w:r w:rsidR="006A1C18">
        <w:rPr>
          <w:bCs/>
          <w:sz w:val="22"/>
          <w:szCs w:val="22"/>
        </w:rPr>
        <w:t>Empirische Studien zur Auswirkung ergänzender Bleiberechtsregelungen auf die Aussagebereitschaft von Betroffenen von Menschenhandel und eine damit gegebenenfalls verbundene Erhöhung der Aufklärungsquote existiert laut Innenministerium bislang nicht. Nach</w:t>
      </w:r>
      <w:r w:rsidR="009E132D">
        <w:rPr>
          <w:bCs/>
          <w:sz w:val="22"/>
          <w:szCs w:val="22"/>
        </w:rPr>
        <w:t xml:space="preserve"> § 25 Abs. 4 S. 2 Aufenthaltsgesetz ist eine Aufenthaltserlaubnis </w:t>
      </w:r>
      <w:r w:rsidR="002A2789">
        <w:rPr>
          <w:bCs/>
          <w:sz w:val="22"/>
          <w:szCs w:val="22"/>
        </w:rPr>
        <w:t>verlängerbar, wenn die Aufenthaltsbeendigung eine außergewöhnliche Härte darstellt. Individuelle körperliche oder psychische Belastungen, die in kausalem Zusammenhang mit Menschenhandel stehen, finden bislang jedoch kaum Beachtung.</w:t>
      </w:r>
    </w:p>
    <w:p w:rsidR="000A7C00" w:rsidRDefault="000A7C00" w:rsidP="000A7C00">
      <w:pPr>
        <w:pStyle w:val="Default"/>
        <w:tabs>
          <w:tab w:val="left" w:pos="284"/>
        </w:tabs>
        <w:jc w:val="both"/>
        <w:rPr>
          <w:bCs/>
          <w:sz w:val="22"/>
          <w:szCs w:val="22"/>
        </w:rPr>
      </w:pPr>
    </w:p>
    <w:p w:rsidR="00766AED" w:rsidRPr="00766AED" w:rsidRDefault="004D40DD" w:rsidP="006D0D61">
      <w:pPr>
        <w:pStyle w:val="Default"/>
        <w:numPr>
          <w:ilvl w:val="0"/>
          <w:numId w:val="13"/>
        </w:numPr>
        <w:tabs>
          <w:tab w:val="left" w:pos="284"/>
        </w:tabs>
        <w:spacing w:before="240"/>
        <w:ind w:left="284" w:hanging="142"/>
        <w:jc w:val="both"/>
        <w:rPr>
          <w:b/>
          <w:bCs/>
          <w:sz w:val="22"/>
          <w:szCs w:val="22"/>
        </w:rPr>
      </w:pPr>
      <w:r>
        <w:rPr>
          <w:b/>
          <w:bCs/>
          <w:sz w:val="22"/>
          <w:szCs w:val="22"/>
        </w:rPr>
        <w:t>Abkehr von der Dominanz der Strafverfolgung hin zu einem menschenrechtlichen Ansatz</w:t>
      </w:r>
      <w:r w:rsidRPr="00766AED">
        <w:rPr>
          <w:b/>
          <w:bCs/>
          <w:sz w:val="22"/>
          <w:szCs w:val="22"/>
        </w:rPr>
        <w:t xml:space="preserve"> </w:t>
      </w:r>
      <w:r>
        <w:rPr>
          <w:b/>
          <w:bCs/>
          <w:sz w:val="22"/>
          <w:szCs w:val="22"/>
        </w:rPr>
        <w:t>–</w:t>
      </w:r>
      <w:r w:rsidR="00F037DF">
        <w:rPr>
          <w:b/>
          <w:bCs/>
          <w:sz w:val="22"/>
          <w:szCs w:val="22"/>
        </w:rPr>
        <w:t xml:space="preserve"> </w:t>
      </w:r>
      <w:r w:rsidR="00741DC0">
        <w:rPr>
          <w:b/>
          <w:bCs/>
          <w:sz w:val="22"/>
          <w:szCs w:val="22"/>
        </w:rPr>
        <w:t xml:space="preserve">Richtlinienkonforme </w:t>
      </w:r>
      <w:r>
        <w:rPr>
          <w:b/>
          <w:bCs/>
          <w:sz w:val="22"/>
          <w:szCs w:val="22"/>
        </w:rPr>
        <w:t xml:space="preserve">Umsetzung der </w:t>
      </w:r>
      <w:r w:rsidR="00766AED" w:rsidRPr="00766AED">
        <w:rPr>
          <w:b/>
          <w:bCs/>
          <w:sz w:val="22"/>
          <w:szCs w:val="22"/>
        </w:rPr>
        <w:t>EU-Richtlinie 2011/36/EU</w:t>
      </w:r>
    </w:p>
    <w:p w:rsidR="00052794" w:rsidRDefault="00182061" w:rsidP="00052794">
      <w:pPr>
        <w:pStyle w:val="Default"/>
        <w:tabs>
          <w:tab w:val="left" w:pos="284"/>
        </w:tabs>
        <w:spacing w:before="240"/>
        <w:jc w:val="both"/>
        <w:rPr>
          <w:bCs/>
          <w:sz w:val="22"/>
          <w:szCs w:val="22"/>
        </w:rPr>
      </w:pPr>
      <w:r>
        <w:rPr>
          <w:bCs/>
          <w:sz w:val="22"/>
          <w:szCs w:val="22"/>
        </w:rPr>
        <w:t>Die fristgerechte</w:t>
      </w:r>
      <w:r w:rsidR="00741778">
        <w:rPr>
          <w:bCs/>
          <w:sz w:val="22"/>
          <w:szCs w:val="22"/>
        </w:rPr>
        <w:t xml:space="preserve"> Umsetzung der Richtlinie</w:t>
      </w:r>
      <w:r>
        <w:rPr>
          <w:bCs/>
          <w:sz w:val="22"/>
          <w:szCs w:val="22"/>
        </w:rPr>
        <w:t xml:space="preserve"> 2011/36/EU</w:t>
      </w:r>
      <w:r w:rsidR="00741778">
        <w:rPr>
          <w:bCs/>
          <w:sz w:val="22"/>
          <w:szCs w:val="22"/>
        </w:rPr>
        <w:t xml:space="preserve"> bis zum 6. April 2013 scheiterte</w:t>
      </w:r>
      <w:r>
        <w:rPr>
          <w:bCs/>
          <w:sz w:val="22"/>
          <w:szCs w:val="22"/>
        </w:rPr>
        <w:t xml:space="preserve"> an den unterschiedlichen Ansichten der schwarz-gelben Bundesregierung</w:t>
      </w:r>
      <w:r w:rsidR="00741778">
        <w:rPr>
          <w:bCs/>
          <w:sz w:val="22"/>
          <w:szCs w:val="22"/>
        </w:rPr>
        <w:t xml:space="preserve">. </w:t>
      </w:r>
      <w:r w:rsidR="00EF523E">
        <w:rPr>
          <w:bCs/>
          <w:sz w:val="22"/>
          <w:szCs w:val="22"/>
        </w:rPr>
        <w:t>Es ist geplant, d</w:t>
      </w:r>
      <w:r>
        <w:rPr>
          <w:bCs/>
          <w:sz w:val="22"/>
          <w:szCs w:val="22"/>
        </w:rPr>
        <w:t>ie</w:t>
      </w:r>
      <w:r w:rsidR="00EF523E">
        <w:rPr>
          <w:bCs/>
          <w:sz w:val="22"/>
          <w:szCs w:val="22"/>
        </w:rPr>
        <w:t>ses Versä</w:t>
      </w:r>
      <w:r w:rsidR="007548C9">
        <w:rPr>
          <w:bCs/>
          <w:sz w:val="22"/>
          <w:szCs w:val="22"/>
        </w:rPr>
        <w:t>u</w:t>
      </w:r>
      <w:r w:rsidR="00EF523E">
        <w:rPr>
          <w:bCs/>
          <w:sz w:val="22"/>
          <w:szCs w:val="22"/>
        </w:rPr>
        <w:t xml:space="preserve">mnis </w:t>
      </w:r>
      <w:r>
        <w:rPr>
          <w:bCs/>
          <w:sz w:val="22"/>
          <w:szCs w:val="22"/>
        </w:rPr>
        <w:t xml:space="preserve">nun in den nächsten Monaten </w:t>
      </w:r>
      <w:r w:rsidR="00EF523E">
        <w:rPr>
          <w:bCs/>
          <w:sz w:val="22"/>
          <w:szCs w:val="22"/>
        </w:rPr>
        <w:t>nachzuholen. Neben</w:t>
      </w:r>
      <w:r w:rsidR="00993E38">
        <w:rPr>
          <w:bCs/>
          <w:sz w:val="22"/>
          <w:szCs w:val="22"/>
        </w:rPr>
        <w:t xml:space="preserve"> </w:t>
      </w:r>
      <w:proofErr w:type="gramStart"/>
      <w:r w:rsidR="00993E38">
        <w:rPr>
          <w:bCs/>
          <w:sz w:val="22"/>
          <w:szCs w:val="22"/>
        </w:rPr>
        <w:t>d</w:t>
      </w:r>
      <w:r w:rsidR="00EF523E">
        <w:rPr>
          <w:bCs/>
          <w:sz w:val="22"/>
          <w:szCs w:val="22"/>
        </w:rPr>
        <w:t>e</w:t>
      </w:r>
      <w:r w:rsidR="004768EB">
        <w:rPr>
          <w:bCs/>
          <w:sz w:val="22"/>
          <w:szCs w:val="22"/>
        </w:rPr>
        <w:t>r</w:t>
      </w:r>
      <w:proofErr w:type="gramEnd"/>
      <w:r w:rsidR="004768EB">
        <w:rPr>
          <w:bCs/>
          <w:sz w:val="22"/>
          <w:szCs w:val="22"/>
        </w:rPr>
        <w:t xml:space="preserve"> </w:t>
      </w:r>
      <w:r>
        <w:rPr>
          <w:bCs/>
          <w:sz w:val="22"/>
          <w:szCs w:val="22"/>
        </w:rPr>
        <w:t>strafrechtlichen Änderungen</w:t>
      </w:r>
      <w:r w:rsidR="00EF523E">
        <w:rPr>
          <w:bCs/>
          <w:sz w:val="22"/>
          <w:szCs w:val="22"/>
        </w:rPr>
        <w:t xml:space="preserve"> sollen</w:t>
      </w:r>
      <w:r>
        <w:rPr>
          <w:bCs/>
          <w:sz w:val="22"/>
          <w:szCs w:val="22"/>
        </w:rPr>
        <w:t xml:space="preserve"> auch Zugeständnisse im Hinblick auf das Aufenthaltsrecht </w:t>
      </w:r>
      <w:r w:rsidR="00EF523E">
        <w:rPr>
          <w:bCs/>
          <w:sz w:val="22"/>
          <w:szCs w:val="22"/>
        </w:rPr>
        <w:t>er</w:t>
      </w:r>
      <w:r w:rsidR="00993E38">
        <w:rPr>
          <w:bCs/>
          <w:sz w:val="22"/>
          <w:szCs w:val="22"/>
        </w:rPr>
        <w:t>folgen</w:t>
      </w:r>
      <w:r>
        <w:rPr>
          <w:bCs/>
          <w:sz w:val="22"/>
          <w:szCs w:val="22"/>
        </w:rPr>
        <w:t xml:space="preserve">. </w:t>
      </w:r>
      <w:r w:rsidR="00154CD6">
        <w:rPr>
          <w:bCs/>
          <w:sz w:val="22"/>
          <w:szCs w:val="22"/>
        </w:rPr>
        <w:t>Trotz der klaren Vorgaben</w:t>
      </w:r>
      <w:r w:rsidR="00D32A48">
        <w:rPr>
          <w:bCs/>
          <w:sz w:val="22"/>
          <w:szCs w:val="22"/>
        </w:rPr>
        <w:t xml:space="preserve"> wird d</w:t>
      </w:r>
      <w:r w:rsidR="00052794">
        <w:rPr>
          <w:bCs/>
          <w:sz w:val="22"/>
          <w:szCs w:val="22"/>
        </w:rPr>
        <w:t xml:space="preserve">er </w:t>
      </w:r>
      <w:r w:rsidR="00F3700D">
        <w:rPr>
          <w:bCs/>
          <w:sz w:val="22"/>
          <w:szCs w:val="22"/>
        </w:rPr>
        <w:t xml:space="preserve">vom Bundesministerium der Justiz vorgelegte Referentenentwurf eines </w:t>
      </w:r>
      <w:r w:rsidR="00F3700D" w:rsidRPr="00D32A48">
        <w:rPr>
          <w:bCs/>
          <w:i/>
          <w:sz w:val="22"/>
          <w:szCs w:val="22"/>
        </w:rPr>
        <w:t xml:space="preserve">Gesetzes zur Umsetzung der Richtlinie 2011/36/EU des europäischen Parlamentes und des Rates vom 5. April 2011 zur Verhütung und Bekämpfung des Menschenhandels und zum Schutz seiner Opfer sowie zur Ersetzung des </w:t>
      </w:r>
      <w:r w:rsidR="00F3700D" w:rsidRPr="00D32A48">
        <w:rPr>
          <w:bCs/>
          <w:i/>
          <w:sz w:val="22"/>
          <w:szCs w:val="22"/>
        </w:rPr>
        <w:lastRenderedPageBreak/>
        <w:t>Rahmenbeschlusses 2002/629/Jl des Rates gegen Menschenhandel</w:t>
      </w:r>
      <w:r w:rsidR="00F3700D">
        <w:rPr>
          <w:bCs/>
          <w:sz w:val="22"/>
          <w:szCs w:val="22"/>
        </w:rPr>
        <w:t xml:space="preserve"> den </w:t>
      </w:r>
      <w:r w:rsidR="00012ECC">
        <w:rPr>
          <w:bCs/>
          <w:sz w:val="22"/>
          <w:szCs w:val="22"/>
        </w:rPr>
        <w:t xml:space="preserve">vielschichtigen </w:t>
      </w:r>
      <w:r w:rsidR="00F3700D">
        <w:rPr>
          <w:bCs/>
          <w:sz w:val="22"/>
          <w:szCs w:val="22"/>
        </w:rPr>
        <w:t xml:space="preserve">Anforderungen </w:t>
      </w:r>
      <w:r w:rsidR="00993E38">
        <w:rPr>
          <w:bCs/>
          <w:sz w:val="22"/>
          <w:szCs w:val="22"/>
        </w:rPr>
        <w:t>des Richtliniengebers</w:t>
      </w:r>
      <w:r w:rsidR="00F3700D">
        <w:rPr>
          <w:bCs/>
          <w:sz w:val="22"/>
          <w:szCs w:val="22"/>
        </w:rPr>
        <w:t xml:space="preserve"> </w:t>
      </w:r>
      <w:r w:rsidR="00257C87">
        <w:rPr>
          <w:bCs/>
          <w:sz w:val="22"/>
          <w:szCs w:val="22"/>
        </w:rPr>
        <w:t xml:space="preserve">jedoch </w:t>
      </w:r>
      <w:r w:rsidR="00F3700D">
        <w:rPr>
          <w:bCs/>
          <w:sz w:val="22"/>
          <w:szCs w:val="22"/>
        </w:rPr>
        <w:t xml:space="preserve">nicht gerecht. </w:t>
      </w:r>
      <w:r>
        <w:rPr>
          <w:bCs/>
          <w:sz w:val="22"/>
          <w:szCs w:val="22"/>
        </w:rPr>
        <w:t xml:space="preserve">Die Richtlinie geht von einem integrierten, ganzheitlichen und menschenrechtsbasierten Vorgehen bei der Bekämpfung von Menschenhandel aus. </w:t>
      </w:r>
      <w:r w:rsidR="00766AED">
        <w:rPr>
          <w:bCs/>
          <w:sz w:val="22"/>
          <w:szCs w:val="22"/>
        </w:rPr>
        <w:t xml:space="preserve">Der Entwurf beschränkt sich bislang </w:t>
      </w:r>
      <w:r w:rsidR="00257C87">
        <w:rPr>
          <w:bCs/>
          <w:sz w:val="22"/>
          <w:szCs w:val="22"/>
        </w:rPr>
        <w:t>aber</w:t>
      </w:r>
      <w:r w:rsidR="00D32A48">
        <w:rPr>
          <w:bCs/>
          <w:sz w:val="22"/>
          <w:szCs w:val="22"/>
        </w:rPr>
        <w:t xml:space="preserve"> </w:t>
      </w:r>
      <w:r w:rsidR="00766AED">
        <w:rPr>
          <w:bCs/>
          <w:sz w:val="22"/>
          <w:szCs w:val="22"/>
        </w:rPr>
        <w:t>allein auf die Umsetzung des strafrechtlichen Teils der Richtlinie</w:t>
      </w:r>
      <w:r w:rsidR="003C0DC6">
        <w:rPr>
          <w:bCs/>
          <w:sz w:val="22"/>
          <w:szCs w:val="22"/>
        </w:rPr>
        <w:t xml:space="preserve"> (Art. 2-10)</w:t>
      </w:r>
      <w:r w:rsidR="00766AED">
        <w:rPr>
          <w:bCs/>
          <w:sz w:val="22"/>
          <w:szCs w:val="22"/>
        </w:rPr>
        <w:t xml:space="preserve">. </w:t>
      </w:r>
      <w:r w:rsidR="00993E38">
        <w:rPr>
          <w:bCs/>
          <w:sz w:val="22"/>
          <w:szCs w:val="22"/>
        </w:rPr>
        <w:t>Unbeachtet bleiben</w:t>
      </w:r>
      <w:r w:rsidR="00EF523E">
        <w:rPr>
          <w:bCs/>
          <w:sz w:val="22"/>
          <w:szCs w:val="22"/>
        </w:rPr>
        <w:t xml:space="preserve"> jedenfalls</w:t>
      </w:r>
      <w:r w:rsidR="00993E38">
        <w:rPr>
          <w:bCs/>
          <w:sz w:val="22"/>
          <w:szCs w:val="22"/>
        </w:rPr>
        <w:t xml:space="preserve"> die folgenden Vorgaben</w:t>
      </w:r>
      <w:r w:rsidR="00463073">
        <w:rPr>
          <w:bCs/>
          <w:sz w:val="22"/>
          <w:szCs w:val="22"/>
        </w:rPr>
        <w:t>:</w:t>
      </w:r>
    </w:p>
    <w:p w:rsidR="00766AED"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Unterstützung und Betreuung von Opfern des Menschenhandels (Art. 11);</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Schutz der Opfer von Menschenhandel bei Strafermittlungen und Strafverfahren (Art. 12);</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allgemeinen Bestimmungen über Unterstützungs-, Betreuungs- und Schutzmaßnahmen für Kinder, die Opfer von Menschenhandel sind (Art. 13);</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Unterstützung von Kindern, die Opfer von Menschenhandel sind (Art. 14);</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Schutz von Kindern, die Opfer von Menschenhandel sind, bei Strafermittlungen und Strafverfahren (Art. 15);</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Unterstützung, Betreuung und Schutz unbegleiteteter Kinder, die Opfer von Menschenhandel sind (Art. 16);</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Entschädigung der Opfer (Art. 17);</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Regelungen zur Prävention (Art. 18)</w:t>
      </w:r>
      <w:r w:rsidR="007814FD">
        <w:rPr>
          <w:bCs/>
          <w:sz w:val="22"/>
          <w:szCs w:val="22"/>
        </w:rPr>
        <w:t>;</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Einsatz nationaler Berichterstatter oder gleichwertiger Mechanismen (Art. 19);</w:t>
      </w:r>
    </w:p>
    <w:p w:rsidR="00C13F5F" w:rsidRPr="007814FD" w:rsidRDefault="00C13F5F" w:rsidP="004768EB">
      <w:pPr>
        <w:pStyle w:val="Default"/>
        <w:numPr>
          <w:ilvl w:val="0"/>
          <w:numId w:val="12"/>
        </w:numPr>
        <w:tabs>
          <w:tab w:val="left" w:pos="851"/>
        </w:tabs>
        <w:spacing w:before="120"/>
        <w:jc w:val="both"/>
        <w:rPr>
          <w:bCs/>
          <w:sz w:val="22"/>
          <w:szCs w:val="22"/>
        </w:rPr>
      </w:pPr>
      <w:r w:rsidRPr="007814FD">
        <w:rPr>
          <w:bCs/>
          <w:sz w:val="22"/>
          <w:szCs w:val="22"/>
        </w:rPr>
        <w:t>Maßnahmen zur Koordination der Strategie der Union zur Bekämpfung des Menschenhandels (Art. 20).</w:t>
      </w:r>
    </w:p>
    <w:p w:rsidR="003D1D95" w:rsidRDefault="00B83F48" w:rsidP="00C13F5F">
      <w:pPr>
        <w:pStyle w:val="Default"/>
        <w:tabs>
          <w:tab w:val="left" w:pos="284"/>
        </w:tabs>
        <w:spacing w:before="240"/>
        <w:jc w:val="both"/>
        <w:rPr>
          <w:bCs/>
          <w:sz w:val="22"/>
          <w:szCs w:val="22"/>
        </w:rPr>
      </w:pPr>
      <w:r>
        <w:rPr>
          <w:bCs/>
          <w:sz w:val="22"/>
          <w:szCs w:val="22"/>
        </w:rPr>
        <w:t xml:space="preserve">Auch </w:t>
      </w:r>
      <w:r w:rsidR="00741DC0">
        <w:rPr>
          <w:bCs/>
          <w:sz w:val="22"/>
          <w:szCs w:val="22"/>
        </w:rPr>
        <w:t>die Neue Richtervereinigung, der D</w:t>
      </w:r>
      <w:r>
        <w:rPr>
          <w:bCs/>
          <w:sz w:val="22"/>
          <w:szCs w:val="22"/>
        </w:rPr>
        <w:t xml:space="preserve">eutsche Juristinnenbund und das Deutsche Institut für Menschenrechte Berlin begegnen dieser einseitigen Auslegung der Richtlinie höchst kritisch. Begründend führen </w:t>
      </w:r>
      <w:r w:rsidR="00741DC0">
        <w:rPr>
          <w:bCs/>
          <w:sz w:val="22"/>
          <w:szCs w:val="22"/>
        </w:rPr>
        <w:t>letztere</w:t>
      </w:r>
      <w:r>
        <w:rPr>
          <w:bCs/>
          <w:sz w:val="22"/>
          <w:szCs w:val="22"/>
        </w:rPr>
        <w:t xml:space="preserve"> aus, dass nach Art. 288 AEUV die Richtlinien hinsichtlich ihres Ziels </w:t>
      </w:r>
      <w:r w:rsidR="00257C87">
        <w:rPr>
          <w:bCs/>
          <w:sz w:val="22"/>
          <w:szCs w:val="22"/>
        </w:rPr>
        <w:t xml:space="preserve">jedenfalls </w:t>
      </w:r>
      <w:r>
        <w:rPr>
          <w:bCs/>
          <w:sz w:val="22"/>
          <w:szCs w:val="22"/>
        </w:rPr>
        <w:t xml:space="preserve">verbindlich sind, es den Mitgliedstaaten </w:t>
      </w:r>
      <w:r w:rsidR="00257C87">
        <w:rPr>
          <w:bCs/>
          <w:sz w:val="22"/>
          <w:szCs w:val="22"/>
        </w:rPr>
        <w:t xml:space="preserve">nur </w:t>
      </w:r>
      <w:r>
        <w:rPr>
          <w:bCs/>
          <w:sz w:val="22"/>
          <w:szCs w:val="22"/>
        </w:rPr>
        <w:t>überlassen ist, die Wahl der Form und Mittel zur Erreichung dieses Ziels zu wählen. Der EUGH hat diese Wahlfreiheit insoweit präzisiert, als die Mitgliedstaaten Richtlinien unter der Berücksichtigung der praktischen Wirksamkeit (effet utile) in der am besten geeigneten Weise umzusetzen haben. Diesem Gebot kommt besondere Bedeutung zu, wenn wie in vorliegendem Fall, subjektive R</w:t>
      </w:r>
      <w:r w:rsidR="002042DA">
        <w:rPr>
          <w:bCs/>
          <w:sz w:val="22"/>
          <w:szCs w:val="22"/>
        </w:rPr>
        <w:t>echtspositionen betroffen sind und die bestehenden Ermessensvorschriften im deutschen Recht nicht ausreichen. Es besteht somit ein Regelungsbedarf, wonach d</w:t>
      </w:r>
      <w:r w:rsidR="00EC1D5E">
        <w:rPr>
          <w:bCs/>
          <w:sz w:val="22"/>
          <w:szCs w:val="22"/>
        </w:rPr>
        <w:t xml:space="preserve">ie in der </w:t>
      </w:r>
      <w:r w:rsidR="00EC1D5E" w:rsidRPr="00EC1D5E">
        <w:rPr>
          <w:bCs/>
          <w:sz w:val="22"/>
          <w:szCs w:val="22"/>
        </w:rPr>
        <w:t>Richtlinie 2011/36/EU</w:t>
      </w:r>
      <w:r w:rsidR="00EC1D5E">
        <w:rPr>
          <w:bCs/>
          <w:sz w:val="22"/>
          <w:szCs w:val="22"/>
        </w:rPr>
        <w:t xml:space="preserve"> aufgezählten Maßnahmen zur Unterstützung und Betreuung der Betroffenen dringend notwendig</w:t>
      </w:r>
      <w:r w:rsidR="002042DA">
        <w:rPr>
          <w:bCs/>
          <w:sz w:val="22"/>
          <w:szCs w:val="22"/>
        </w:rPr>
        <w:t xml:space="preserve"> sind</w:t>
      </w:r>
      <w:r w:rsidR="00EC1D5E">
        <w:rPr>
          <w:bCs/>
          <w:sz w:val="22"/>
          <w:szCs w:val="22"/>
        </w:rPr>
        <w:t xml:space="preserve"> und daher einheitlich in nationales Recht umgesetzt werden</w:t>
      </w:r>
      <w:r w:rsidR="002042DA">
        <w:rPr>
          <w:bCs/>
          <w:sz w:val="22"/>
          <w:szCs w:val="22"/>
        </w:rPr>
        <w:t xml:space="preserve"> müssen</w:t>
      </w:r>
      <w:r w:rsidR="00EC1D5E">
        <w:rPr>
          <w:bCs/>
          <w:sz w:val="22"/>
          <w:szCs w:val="22"/>
        </w:rPr>
        <w:t xml:space="preserve">. </w:t>
      </w:r>
    </w:p>
    <w:p w:rsidR="00741DC0" w:rsidRDefault="00741DC0" w:rsidP="00741DC0">
      <w:pPr>
        <w:pStyle w:val="Default"/>
        <w:tabs>
          <w:tab w:val="left" w:pos="284"/>
        </w:tabs>
        <w:jc w:val="both"/>
        <w:rPr>
          <w:bCs/>
          <w:sz w:val="22"/>
          <w:szCs w:val="22"/>
        </w:rPr>
      </w:pPr>
    </w:p>
    <w:p w:rsidR="000D232D" w:rsidRPr="000D232D" w:rsidRDefault="000D232D" w:rsidP="006D0D61">
      <w:pPr>
        <w:pStyle w:val="Default"/>
        <w:numPr>
          <w:ilvl w:val="0"/>
          <w:numId w:val="13"/>
        </w:numPr>
        <w:tabs>
          <w:tab w:val="left" w:pos="284"/>
        </w:tabs>
        <w:spacing w:before="240"/>
        <w:ind w:left="284" w:hanging="142"/>
        <w:jc w:val="both"/>
        <w:rPr>
          <w:b/>
          <w:bCs/>
          <w:sz w:val="22"/>
          <w:szCs w:val="22"/>
        </w:rPr>
      </w:pPr>
      <w:r w:rsidRPr="000D232D">
        <w:rPr>
          <w:b/>
          <w:bCs/>
          <w:sz w:val="22"/>
          <w:szCs w:val="22"/>
        </w:rPr>
        <w:t>Der Landtag stellt fest:</w:t>
      </w:r>
    </w:p>
    <w:p w:rsidR="000D232D" w:rsidRDefault="00AC4ABC" w:rsidP="00871F4D">
      <w:pPr>
        <w:pStyle w:val="Default"/>
        <w:numPr>
          <w:ilvl w:val="0"/>
          <w:numId w:val="8"/>
        </w:numPr>
        <w:tabs>
          <w:tab w:val="left" w:pos="284"/>
        </w:tabs>
        <w:spacing w:before="240"/>
        <w:jc w:val="both"/>
        <w:rPr>
          <w:bCs/>
          <w:sz w:val="22"/>
          <w:szCs w:val="22"/>
        </w:rPr>
      </w:pPr>
      <w:r>
        <w:rPr>
          <w:bCs/>
          <w:sz w:val="22"/>
          <w:szCs w:val="22"/>
        </w:rPr>
        <w:t>Menschenhandel ist eine schwere Form der Menschenrechtsverletzung und</w:t>
      </w:r>
      <w:r w:rsidR="00593121">
        <w:rPr>
          <w:bCs/>
          <w:sz w:val="22"/>
          <w:szCs w:val="22"/>
        </w:rPr>
        <w:t xml:space="preserve"> </w:t>
      </w:r>
      <w:r w:rsidR="008E440C">
        <w:rPr>
          <w:bCs/>
          <w:sz w:val="22"/>
          <w:szCs w:val="22"/>
        </w:rPr>
        <w:t>die in diesem Zusammenhang begangenen Straftaten können</w:t>
      </w:r>
      <w:r w:rsidR="005300B2">
        <w:rPr>
          <w:bCs/>
          <w:sz w:val="22"/>
          <w:szCs w:val="22"/>
        </w:rPr>
        <w:t xml:space="preserve"> nur durch ein effektives Zusammenspiel von Strafverfolgung, Opferschutz</w:t>
      </w:r>
      <w:r w:rsidR="008E440C">
        <w:rPr>
          <w:bCs/>
          <w:sz w:val="22"/>
          <w:szCs w:val="22"/>
        </w:rPr>
        <w:t xml:space="preserve"> und Prävention</w:t>
      </w:r>
      <w:r w:rsidR="005300B2">
        <w:rPr>
          <w:bCs/>
          <w:sz w:val="22"/>
          <w:szCs w:val="22"/>
        </w:rPr>
        <w:t xml:space="preserve"> w</w:t>
      </w:r>
      <w:r w:rsidR="008E440C">
        <w:rPr>
          <w:bCs/>
          <w:sz w:val="22"/>
          <w:szCs w:val="22"/>
        </w:rPr>
        <w:t xml:space="preserve">irksam bekämpft werden. </w:t>
      </w:r>
      <w:r w:rsidR="00413406">
        <w:rPr>
          <w:bCs/>
          <w:sz w:val="22"/>
          <w:szCs w:val="22"/>
        </w:rPr>
        <w:t>Strafverfolgung alleine genügt nicht. Es</w:t>
      </w:r>
      <w:r w:rsidR="008E440C">
        <w:rPr>
          <w:bCs/>
          <w:sz w:val="22"/>
          <w:szCs w:val="22"/>
        </w:rPr>
        <w:t xml:space="preserve"> müssen gezielte und nachhaltige Maßnahmen zum Schutz der Betroffenen sowie zu deren Unterstützung </w:t>
      </w:r>
      <w:r w:rsidR="009422D8">
        <w:rPr>
          <w:bCs/>
          <w:sz w:val="22"/>
          <w:szCs w:val="22"/>
        </w:rPr>
        <w:t>getroffen</w:t>
      </w:r>
      <w:r w:rsidR="008E440C">
        <w:rPr>
          <w:bCs/>
          <w:sz w:val="22"/>
          <w:szCs w:val="22"/>
        </w:rPr>
        <w:t xml:space="preserve"> werden, wobei Kinder und unbegleitete Kinder und Minderjährige als ganz besonders schutzwürdig anzusehen sind</w:t>
      </w:r>
      <w:r w:rsidR="003A4875">
        <w:rPr>
          <w:bCs/>
          <w:sz w:val="22"/>
          <w:szCs w:val="22"/>
        </w:rPr>
        <w:t>;</w:t>
      </w:r>
    </w:p>
    <w:p w:rsidR="000D232D" w:rsidRDefault="00413406" w:rsidP="00871F4D">
      <w:pPr>
        <w:pStyle w:val="Default"/>
        <w:numPr>
          <w:ilvl w:val="0"/>
          <w:numId w:val="8"/>
        </w:numPr>
        <w:tabs>
          <w:tab w:val="left" w:pos="284"/>
        </w:tabs>
        <w:spacing w:before="240"/>
        <w:jc w:val="both"/>
        <w:rPr>
          <w:bCs/>
          <w:sz w:val="22"/>
          <w:szCs w:val="22"/>
        </w:rPr>
      </w:pPr>
      <w:r>
        <w:rPr>
          <w:bCs/>
          <w:sz w:val="22"/>
          <w:szCs w:val="22"/>
        </w:rPr>
        <w:lastRenderedPageBreak/>
        <w:t xml:space="preserve">Die Strafverfolgung muss von den Opferrechten entkoppelt werden. </w:t>
      </w:r>
      <w:r w:rsidR="000F50EC">
        <w:rPr>
          <w:bCs/>
          <w:sz w:val="22"/>
          <w:szCs w:val="22"/>
        </w:rPr>
        <w:t>Die Rechte der Betroffenen müssen unabhängig davon gewährleistet werden, ob sie sich für eine Kooperation bei der Strafverfolgung entscheiden oder nicht. Denn der Aufenthaltstitel nach § 25 Abs. 4a Aufenthaltsgesetz und die damit verbundene Möglichkeit Unterstützungsmaßnahmen in Anspruch zu nehmen</w:t>
      </w:r>
      <w:r w:rsidR="00E5708B">
        <w:rPr>
          <w:bCs/>
          <w:sz w:val="22"/>
          <w:szCs w:val="22"/>
        </w:rPr>
        <w:t>,</w:t>
      </w:r>
      <w:r w:rsidR="000F50EC">
        <w:rPr>
          <w:bCs/>
          <w:sz w:val="22"/>
          <w:szCs w:val="22"/>
        </w:rPr>
        <w:t xml:space="preserve"> ist bislang nicht an die persönliche Situation der Betroffenen geknüpft. </w:t>
      </w:r>
      <w:r>
        <w:rPr>
          <w:bCs/>
          <w:sz w:val="22"/>
          <w:szCs w:val="22"/>
        </w:rPr>
        <w:t>Dies betrifft M</w:t>
      </w:r>
      <w:r w:rsidR="00E5708B">
        <w:rPr>
          <w:bCs/>
          <w:sz w:val="22"/>
          <w:szCs w:val="22"/>
        </w:rPr>
        <w:t xml:space="preserve">enschen, die traumatisiert sind, die </w:t>
      </w:r>
      <w:r>
        <w:rPr>
          <w:bCs/>
          <w:sz w:val="22"/>
          <w:szCs w:val="22"/>
        </w:rPr>
        <w:t>aus Angst nicht aussagen können oder deren Aussage strafrechtlich nich</w:t>
      </w:r>
      <w:bookmarkStart w:id="1" w:name="_GoBack"/>
      <w:bookmarkEnd w:id="1"/>
      <w:r>
        <w:rPr>
          <w:bCs/>
          <w:sz w:val="22"/>
          <w:szCs w:val="22"/>
        </w:rPr>
        <w:t xml:space="preserve">t verwertbar ist. </w:t>
      </w:r>
      <w:r w:rsidR="000F50EC">
        <w:rPr>
          <w:bCs/>
          <w:sz w:val="22"/>
          <w:szCs w:val="22"/>
        </w:rPr>
        <w:t>Das birgt die große Gefahr, dass die Betroffenen als Zeug</w:t>
      </w:r>
      <w:r w:rsidR="00FD6D2B">
        <w:rPr>
          <w:bCs/>
          <w:sz w:val="22"/>
          <w:szCs w:val="22"/>
        </w:rPr>
        <w:t>en</w:t>
      </w:r>
      <w:r w:rsidR="000F50EC">
        <w:rPr>
          <w:bCs/>
          <w:sz w:val="22"/>
          <w:szCs w:val="22"/>
        </w:rPr>
        <w:t xml:space="preserve"> in Strafverfahren instrumentalisiert werden, da nicht deren Wohlergehen und Rechte, sondern eine erfolgreiche Strafverfolgung Grund für die Erteilung des Aufenthaltstitels ist</w:t>
      </w:r>
      <w:r w:rsidR="00C55880">
        <w:rPr>
          <w:bCs/>
          <w:sz w:val="22"/>
          <w:szCs w:val="22"/>
        </w:rPr>
        <w:t>. Der Schutz vor Ausweisung ist für die Betroffenen von Menschenhandel von großer Bedeutung, um sie zu schützen und gleichzeitig die Täter effektiv zu verfolgen</w:t>
      </w:r>
      <w:r w:rsidR="00E813E1">
        <w:rPr>
          <w:bCs/>
          <w:sz w:val="22"/>
          <w:szCs w:val="22"/>
        </w:rPr>
        <w:t>;</w:t>
      </w:r>
    </w:p>
    <w:p w:rsidR="00ED79EC" w:rsidRDefault="00593121" w:rsidP="00ED79EC">
      <w:pPr>
        <w:pStyle w:val="Default"/>
        <w:numPr>
          <w:ilvl w:val="0"/>
          <w:numId w:val="8"/>
        </w:numPr>
        <w:tabs>
          <w:tab w:val="left" w:pos="284"/>
        </w:tabs>
        <w:spacing w:before="240"/>
        <w:jc w:val="both"/>
        <w:rPr>
          <w:bCs/>
          <w:sz w:val="22"/>
          <w:szCs w:val="22"/>
        </w:rPr>
      </w:pPr>
      <w:r>
        <w:rPr>
          <w:bCs/>
          <w:sz w:val="22"/>
          <w:szCs w:val="22"/>
        </w:rPr>
        <w:t>Wenn sich Betroffene dazu entschließen, eine Aussage zu machen, dann ist ihnen größtmöglicher Schutz während und nach dem Verfahren zu gewährleisten</w:t>
      </w:r>
      <w:r w:rsidR="005300B2">
        <w:rPr>
          <w:bCs/>
          <w:sz w:val="22"/>
          <w:szCs w:val="22"/>
        </w:rPr>
        <w:t>;</w:t>
      </w:r>
    </w:p>
    <w:p w:rsidR="0071563C" w:rsidRDefault="00C55880" w:rsidP="00ED79EC">
      <w:pPr>
        <w:pStyle w:val="Default"/>
        <w:numPr>
          <w:ilvl w:val="0"/>
          <w:numId w:val="8"/>
        </w:numPr>
        <w:tabs>
          <w:tab w:val="left" w:pos="284"/>
        </w:tabs>
        <w:spacing w:before="240"/>
        <w:jc w:val="both"/>
        <w:rPr>
          <w:bCs/>
          <w:sz w:val="22"/>
          <w:szCs w:val="22"/>
        </w:rPr>
      </w:pPr>
      <w:r>
        <w:rPr>
          <w:bCs/>
          <w:sz w:val="22"/>
          <w:szCs w:val="22"/>
        </w:rPr>
        <w:t xml:space="preserve">Die Verabschiedung der </w:t>
      </w:r>
      <w:r w:rsidR="0071563C">
        <w:rPr>
          <w:bCs/>
          <w:sz w:val="22"/>
          <w:szCs w:val="22"/>
        </w:rPr>
        <w:t>Richtlinie</w:t>
      </w:r>
      <w:r>
        <w:rPr>
          <w:bCs/>
          <w:sz w:val="22"/>
          <w:szCs w:val="22"/>
        </w:rPr>
        <w:t xml:space="preserve"> 2011/36/EU mit dem Ziel, neben der Verbesserung der Strafverfolgung und Verhinderung von Straftaten auch einen besseren Schutz der Betroffenen zu erreichen, ist</w:t>
      </w:r>
      <w:r w:rsidR="0071563C">
        <w:rPr>
          <w:bCs/>
          <w:sz w:val="22"/>
          <w:szCs w:val="22"/>
        </w:rPr>
        <w:t xml:space="preserve"> zu begrüßen</w:t>
      </w:r>
      <w:r>
        <w:rPr>
          <w:bCs/>
          <w:sz w:val="22"/>
          <w:szCs w:val="22"/>
        </w:rPr>
        <w:t xml:space="preserve">. </w:t>
      </w:r>
    </w:p>
    <w:p w:rsidR="000F50EC" w:rsidRDefault="00413406" w:rsidP="00353E7F">
      <w:pPr>
        <w:pStyle w:val="Default"/>
        <w:numPr>
          <w:ilvl w:val="0"/>
          <w:numId w:val="8"/>
        </w:numPr>
        <w:tabs>
          <w:tab w:val="left" w:pos="284"/>
        </w:tabs>
        <w:spacing w:before="240"/>
        <w:jc w:val="both"/>
        <w:rPr>
          <w:bCs/>
          <w:sz w:val="22"/>
          <w:szCs w:val="22"/>
        </w:rPr>
      </w:pPr>
      <w:r>
        <w:rPr>
          <w:bCs/>
          <w:sz w:val="22"/>
          <w:szCs w:val="22"/>
        </w:rPr>
        <w:t xml:space="preserve">Der vorliegende Referentenentwurf </w:t>
      </w:r>
      <w:r w:rsidR="00353E7F" w:rsidRPr="00353E7F">
        <w:rPr>
          <w:bCs/>
          <w:sz w:val="22"/>
          <w:szCs w:val="22"/>
        </w:rPr>
        <w:t xml:space="preserve">eines </w:t>
      </w:r>
      <w:r w:rsidR="00353E7F" w:rsidRPr="00353E7F">
        <w:rPr>
          <w:bCs/>
          <w:i/>
          <w:sz w:val="22"/>
          <w:szCs w:val="22"/>
        </w:rPr>
        <w:t>Gesetzes zur Umsetzung der Richtlinie 2011/36/EU des europäischen Parlamentes und des Rates vom 5. April 2011 zur Verhütung und Bekämpfung des Menschenhandels und zum Schutz seiner Opfer sowie zur Ersetzung des Rahmenbeschlusses 2002/629/</w:t>
      </w:r>
      <w:proofErr w:type="spellStart"/>
      <w:r w:rsidR="00353E7F" w:rsidRPr="00353E7F">
        <w:rPr>
          <w:bCs/>
          <w:i/>
          <w:sz w:val="22"/>
          <w:szCs w:val="22"/>
        </w:rPr>
        <w:t>Jl</w:t>
      </w:r>
      <w:proofErr w:type="spellEnd"/>
      <w:r w:rsidR="00353E7F" w:rsidRPr="00353E7F">
        <w:rPr>
          <w:bCs/>
          <w:i/>
          <w:sz w:val="22"/>
          <w:szCs w:val="22"/>
        </w:rPr>
        <w:t xml:space="preserve"> des Rates gegen Menschenhandel</w:t>
      </w:r>
      <w:r w:rsidR="00353E7F">
        <w:rPr>
          <w:bCs/>
          <w:sz w:val="22"/>
          <w:szCs w:val="22"/>
        </w:rPr>
        <w:t xml:space="preserve"> </w:t>
      </w:r>
      <w:r w:rsidR="00FB6623">
        <w:rPr>
          <w:bCs/>
          <w:sz w:val="22"/>
          <w:szCs w:val="22"/>
        </w:rPr>
        <w:t xml:space="preserve">ist </w:t>
      </w:r>
      <w:r w:rsidR="0071563C">
        <w:rPr>
          <w:bCs/>
          <w:sz w:val="22"/>
          <w:szCs w:val="22"/>
        </w:rPr>
        <w:t>nicht ausreichend</w:t>
      </w:r>
      <w:r w:rsidR="00615A7A">
        <w:rPr>
          <w:bCs/>
          <w:sz w:val="22"/>
          <w:szCs w:val="22"/>
        </w:rPr>
        <w:t xml:space="preserve"> und auch nicht richtlinienkonform.</w:t>
      </w:r>
    </w:p>
    <w:p w:rsidR="00ED79EC" w:rsidRPr="00ED79EC" w:rsidRDefault="00ED79EC" w:rsidP="00ED79EC">
      <w:pPr>
        <w:pStyle w:val="Default"/>
        <w:tabs>
          <w:tab w:val="left" w:pos="284"/>
        </w:tabs>
        <w:spacing w:before="240"/>
        <w:jc w:val="both"/>
        <w:rPr>
          <w:bCs/>
          <w:sz w:val="22"/>
          <w:szCs w:val="22"/>
        </w:rPr>
      </w:pPr>
    </w:p>
    <w:p w:rsidR="00426AB1" w:rsidRPr="006D0D61" w:rsidRDefault="00F45E26" w:rsidP="006D0D61">
      <w:pPr>
        <w:pStyle w:val="Default"/>
        <w:numPr>
          <w:ilvl w:val="0"/>
          <w:numId w:val="13"/>
        </w:numPr>
        <w:tabs>
          <w:tab w:val="left" w:pos="284"/>
        </w:tabs>
        <w:spacing w:before="240"/>
        <w:ind w:left="284" w:hanging="142"/>
        <w:jc w:val="both"/>
        <w:rPr>
          <w:b/>
          <w:bCs/>
          <w:sz w:val="22"/>
          <w:szCs w:val="22"/>
        </w:rPr>
      </w:pPr>
      <w:r w:rsidRPr="006D0D61">
        <w:rPr>
          <w:b/>
          <w:bCs/>
          <w:sz w:val="22"/>
          <w:szCs w:val="22"/>
        </w:rPr>
        <w:t>Der Landtag beschließt:</w:t>
      </w:r>
    </w:p>
    <w:p w:rsidR="00991A11" w:rsidRDefault="009422D8" w:rsidP="00991A11">
      <w:pPr>
        <w:pStyle w:val="Default"/>
        <w:numPr>
          <w:ilvl w:val="0"/>
          <w:numId w:val="9"/>
        </w:numPr>
        <w:tabs>
          <w:tab w:val="left" w:pos="284"/>
        </w:tabs>
        <w:spacing w:before="240"/>
        <w:jc w:val="both"/>
        <w:rPr>
          <w:bCs/>
          <w:sz w:val="22"/>
          <w:szCs w:val="22"/>
        </w:rPr>
      </w:pPr>
      <w:r>
        <w:rPr>
          <w:bCs/>
          <w:sz w:val="22"/>
          <w:szCs w:val="22"/>
        </w:rPr>
        <w:t>Der Landtag fordert die Landesregierung auf sich auf Bundesebene für die zügige und richtlinienkonforme Umsetzung der Richtlinie 36/2011/EU einzusetzen</w:t>
      </w:r>
      <w:r w:rsidR="00DE02F4">
        <w:rPr>
          <w:bCs/>
          <w:sz w:val="22"/>
          <w:szCs w:val="22"/>
        </w:rPr>
        <w:t>;</w:t>
      </w:r>
      <w:r w:rsidR="00991A11" w:rsidRPr="00991A11">
        <w:rPr>
          <w:bCs/>
          <w:sz w:val="22"/>
          <w:szCs w:val="22"/>
        </w:rPr>
        <w:t xml:space="preserve"> </w:t>
      </w:r>
    </w:p>
    <w:p w:rsidR="00426AB1" w:rsidRDefault="009422D8" w:rsidP="00991A11">
      <w:pPr>
        <w:pStyle w:val="Default"/>
        <w:numPr>
          <w:ilvl w:val="0"/>
          <w:numId w:val="9"/>
        </w:numPr>
        <w:tabs>
          <w:tab w:val="left" w:pos="284"/>
        </w:tabs>
        <w:spacing w:before="240"/>
        <w:jc w:val="both"/>
        <w:rPr>
          <w:bCs/>
          <w:sz w:val="22"/>
          <w:szCs w:val="22"/>
        </w:rPr>
      </w:pPr>
      <w:r>
        <w:rPr>
          <w:bCs/>
          <w:sz w:val="22"/>
          <w:szCs w:val="22"/>
        </w:rPr>
        <w:t>D</w:t>
      </w:r>
      <w:r w:rsidR="00991A11" w:rsidRPr="00991A11">
        <w:rPr>
          <w:bCs/>
          <w:sz w:val="22"/>
          <w:szCs w:val="22"/>
        </w:rPr>
        <w:t>er Landtag fordert d</w:t>
      </w:r>
      <w:r w:rsidR="006410C3">
        <w:rPr>
          <w:bCs/>
          <w:sz w:val="22"/>
          <w:szCs w:val="22"/>
        </w:rPr>
        <w:t xml:space="preserve">ie Landesregierung auf, Gesetzesvorhaben auf Bundesebene zu unterstützen, die eine Änderung des </w:t>
      </w:r>
      <w:r>
        <w:rPr>
          <w:bCs/>
          <w:sz w:val="22"/>
          <w:szCs w:val="22"/>
        </w:rPr>
        <w:t>Aufenthaltsrechts für Betroffene von Mensche</w:t>
      </w:r>
      <w:r w:rsidR="006A1C18">
        <w:rPr>
          <w:bCs/>
          <w:sz w:val="22"/>
          <w:szCs w:val="22"/>
        </w:rPr>
        <w:t>nhandel unabhängig von ihrer Ko</w:t>
      </w:r>
      <w:r>
        <w:rPr>
          <w:bCs/>
          <w:sz w:val="22"/>
          <w:szCs w:val="22"/>
        </w:rPr>
        <w:t xml:space="preserve">operationsbereitschaft </w:t>
      </w:r>
      <w:r w:rsidR="006A1C18">
        <w:rPr>
          <w:bCs/>
          <w:sz w:val="22"/>
          <w:szCs w:val="22"/>
        </w:rPr>
        <w:t>zum Inhalt haben</w:t>
      </w:r>
      <w:r w:rsidR="00DE02F4">
        <w:rPr>
          <w:bCs/>
          <w:sz w:val="22"/>
          <w:szCs w:val="22"/>
        </w:rPr>
        <w:t>;</w:t>
      </w:r>
    </w:p>
    <w:p w:rsidR="006410C3" w:rsidRPr="00991A11" w:rsidRDefault="006A1C18" w:rsidP="006A1C18">
      <w:pPr>
        <w:pStyle w:val="Default"/>
        <w:numPr>
          <w:ilvl w:val="0"/>
          <w:numId w:val="9"/>
        </w:numPr>
        <w:tabs>
          <w:tab w:val="left" w:pos="284"/>
        </w:tabs>
        <w:spacing w:before="240"/>
        <w:jc w:val="both"/>
        <w:rPr>
          <w:bCs/>
          <w:sz w:val="22"/>
          <w:szCs w:val="22"/>
        </w:rPr>
      </w:pPr>
      <w:r>
        <w:rPr>
          <w:bCs/>
          <w:sz w:val="22"/>
          <w:szCs w:val="22"/>
        </w:rPr>
        <w:t>D</w:t>
      </w:r>
      <w:r w:rsidR="00DE02F4">
        <w:rPr>
          <w:bCs/>
          <w:sz w:val="22"/>
          <w:szCs w:val="22"/>
        </w:rPr>
        <w:t xml:space="preserve">er Landtag </w:t>
      </w:r>
      <w:r>
        <w:rPr>
          <w:bCs/>
          <w:sz w:val="22"/>
          <w:szCs w:val="22"/>
        </w:rPr>
        <w:t>fordert die Landesregierung auf eine externe Institution mit dem Auftrag zu betrauen, eine e</w:t>
      </w:r>
      <w:r w:rsidRPr="006A1C18">
        <w:rPr>
          <w:bCs/>
          <w:sz w:val="22"/>
          <w:szCs w:val="22"/>
        </w:rPr>
        <w:t>mpirische Studie</w:t>
      </w:r>
      <w:r>
        <w:rPr>
          <w:bCs/>
          <w:sz w:val="22"/>
          <w:szCs w:val="22"/>
        </w:rPr>
        <w:t xml:space="preserve"> zu den</w:t>
      </w:r>
      <w:r w:rsidRPr="006A1C18">
        <w:rPr>
          <w:bCs/>
          <w:sz w:val="22"/>
          <w:szCs w:val="22"/>
        </w:rPr>
        <w:t xml:space="preserve"> Auswirkung</w:t>
      </w:r>
      <w:r>
        <w:rPr>
          <w:bCs/>
          <w:sz w:val="22"/>
          <w:szCs w:val="22"/>
        </w:rPr>
        <w:t>en</w:t>
      </w:r>
      <w:r w:rsidRPr="006A1C18">
        <w:rPr>
          <w:bCs/>
          <w:sz w:val="22"/>
          <w:szCs w:val="22"/>
        </w:rPr>
        <w:t xml:space="preserve"> ergänzender Bleiberechtsregelungen auf die Aussagebereitschaft von Betroffenen von Menschenhandel und eine</w:t>
      </w:r>
      <w:r>
        <w:rPr>
          <w:bCs/>
          <w:sz w:val="22"/>
          <w:szCs w:val="22"/>
        </w:rPr>
        <w:t>r</w:t>
      </w:r>
      <w:r w:rsidRPr="006A1C18">
        <w:rPr>
          <w:bCs/>
          <w:sz w:val="22"/>
          <w:szCs w:val="22"/>
        </w:rPr>
        <w:t xml:space="preserve"> damit gegebenenfalls verbundene</w:t>
      </w:r>
      <w:r>
        <w:rPr>
          <w:bCs/>
          <w:sz w:val="22"/>
          <w:szCs w:val="22"/>
        </w:rPr>
        <w:t>n</w:t>
      </w:r>
      <w:r w:rsidRPr="006A1C18">
        <w:rPr>
          <w:bCs/>
          <w:sz w:val="22"/>
          <w:szCs w:val="22"/>
        </w:rPr>
        <w:t xml:space="preserve"> Erhöhung der Aufklärungsquote </w:t>
      </w:r>
      <w:r>
        <w:rPr>
          <w:bCs/>
          <w:sz w:val="22"/>
          <w:szCs w:val="22"/>
        </w:rPr>
        <w:t>zu verfassen</w:t>
      </w:r>
      <w:r w:rsidR="00DE02F4">
        <w:rPr>
          <w:bCs/>
          <w:sz w:val="22"/>
          <w:szCs w:val="22"/>
        </w:rPr>
        <w:t xml:space="preserve">. </w:t>
      </w:r>
    </w:p>
    <w:p w:rsidR="000121C1" w:rsidRDefault="000121C1" w:rsidP="000121C1">
      <w:pPr>
        <w:pStyle w:val="Default"/>
        <w:jc w:val="both"/>
        <w:rPr>
          <w:sz w:val="22"/>
        </w:rPr>
      </w:pPr>
    </w:p>
    <w:p w:rsidR="00F45E26" w:rsidRDefault="00F45E26" w:rsidP="000121C1">
      <w:pPr>
        <w:pStyle w:val="Default"/>
        <w:jc w:val="both"/>
        <w:rPr>
          <w:sz w:val="22"/>
        </w:rPr>
      </w:pPr>
    </w:p>
    <w:p w:rsidR="008919A5" w:rsidRDefault="008919A5" w:rsidP="000121C1">
      <w:pPr>
        <w:pStyle w:val="Default"/>
        <w:jc w:val="both"/>
        <w:rPr>
          <w:sz w:val="22"/>
        </w:rPr>
      </w:pPr>
      <w:r>
        <w:rPr>
          <w:sz w:val="22"/>
        </w:rPr>
        <w:t>Dr. Joachim Paul</w:t>
      </w:r>
    </w:p>
    <w:p w:rsidR="00F45E26" w:rsidRDefault="008919A5" w:rsidP="000121C1">
      <w:pPr>
        <w:pStyle w:val="Default"/>
        <w:jc w:val="both"/>
        <w:rPr>
          <w:sz w:val="22"/>
        </w:rPr>
      </w:pPr>
      <w:r>
        <w:rPr>
          <w:sz w:val="22"/>
        </w:rPr>
        <w:t>Monika Pieper</w:t>
      </w:r>
    </w:p>
    <w:p w:rsidR="00523986" w:rsidRDefault="00523986" w:rsidP="00523986">
      <w:pPr>
        <w:pStyle w:val="Default"/>
        <w:jc w:val="both"/>
        <w:rPr>
          <w:sz w:val="22"/>
        </w:rPr>
      </w:pPr>
      <w:r w:rsidRPr="00523986">
        <w:rPr>
          <w:sz w:val="22"/>
        </w:rPr>
        <w:t>Dirk Schatz</w:t>
      </w:r>
    </w:p>
    <w:p w:rsidR="00E5708B" w:rsidRPr="00523986" w:rsidRDefault="00E5708B" w:rsidP="00523986">
      <w:pPr>
        <w:pStyle w:val="Default"/>
        <w:jc w:val="both"/>
        <w:rPr>
          <w:sz w:val="22"/>
        </w:rPr>
      </w:pPr>
      <w:r>
        <w:rPr>
          <w:sz w:val="22"/>
        </w:rPr>
        <w:t>Frank Herrmann</w:t>
      </w:r>
    </w:p>
    <w:p w:rsidR="00CA602D" w:rsidRDefault="00CA602D" w:rsidP="000121C1">
      <w:pPr>
        <w:pStyle w:val="Default"/>
        <w:jc w:val="both"/>
        <w:rPr>
          <w:sz w:val="22"/>
        </w:rPr>
      </w:pPr>
    </w:p>
    <w:p w:rsidR="008919A5" w:rsidRPr="008919A5" w:rsidRDefault="008919A5" w:rsidP="000121C1">
      <w:pPr>
        <w:pStyle w:val="Default"/>
        <w:jc w:val="both"/>
        <w:rPr>
          <w:sz w:val="22"/>
        </w:rPr>
      </w:pPr>
      <w:r>
        <w:rPr>
          <w:sz w:val="22"/>
        </w:rPr>
        <w:t>und Fraktion</w:t>
      </w:r>
    </w:p>
    <w:sectPr w:rsidR="008919A5" w:rsidRPr="008919A5"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13" w:rsidRDefault="00C36013" w:rsidP="004F3971">
      <w:r>
        <w:separator/>
      </w:r>
    </w:p>
  </w:endnote>
  <w:endnote w:type="continuationSeparator" w:id="0">
    <w:p w:rsidR="00C36013" w:rsidRDefault="00C36013"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30138E" w:rsidRPr="00051DEA" w:rsidRDefault="0030138E" w:rsidP="00945E02">
        <w:pPr>
          <w:pStyle w:val="Fuzeile"/>
          <w:spacing w:before="240" w:after="240"/>
          <w:rPr>
            <w:sz w:val="22"/>
            <w:szCs w:val="22"/>
          </w:rPr>
        </w:pPr>
        <w:r>
          <w:fldChar w:fldCharType="begin"/>
        </w:r>
        <w:r>
          <w:instrText>PAGE   \* MERGEFORMAT</w:instrText>
        </w:r>
        <w:r>
          <w:fldChar w:fldCharType="separate"/>
        </w:r>
        <w:r w:rsidR="00FD6D2B" w:rsidRPr="00FD6D2B">
          <w:rPr>
            <w:noProof/>
            <w:sz w:val="22"/>
            <w:szCs w:val="22"/>
          </w:rPr>
          <w:t>4</w:t>
        </w:r>
        <w:r>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30138E" w:rsidRPr="00051DEA" w:rsidRDefault="0030138E" w:rsidP="00945E02">
        <w:pPr>
          <w:pStyle w:val="Fuzeile"/>
          <w:spacing w:before="240" w:after="240"/>
          <w:jc w:val="right"/>
          <w:rPr>
            <w:sz w:val="22"/>
            <w:szCs w:val="22"/>
          </w:rPr>
        </w:pPr>
        <w:r>
          <w:fldChar w:fldCharType="begin"/>
        </w:r>
        <w:r>
          <w:instrText>PAGE   \* MERGEFORMAT</w:instrText>
        </w:r>
        <w:r>
          <w:fldChar w:fldCharType="separate"/>
        </w:r>
        <w:r w:rsidR="00FD6D2B" w:rsidRPr="00FD6D2B">
          <w:rPr>
            <w:noProof/>
            <w:sz w:val="22"/>
            <w:szCs w:val="22"/>
          </w:rPr>
          <w:t>3</w:t>
        </w:r>
        <w:r>
          <w:rPr>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8E" w:rsidRPr="00214A9A" w:rsidRDefault="0030138E" w:rsidP="00945E02">
    <w:pPr>
      <w:pStyle w:val="Fuzeile"/>
      <w:spacing w:before="240" w:after="1320"/>
    </w:pPr>
    <w:r>
      <w:t xml:space="preserve">Datum des Originals: </w:t>
    </w:r>
    <w:bookmarkStart w:id="4" w:name="oridatum"/>
    <w:proofErr w:type="spellStart"/>
    <w:r>
      <w:t>datum</w:t>
    </w:r>
    <w:bookmarkEnd w:id="4"/>
    <w:proofErr w:type="spellEnd"/>
    <w:r>
      <w:t xml:space="preserve">/Ausgegeben: </w:t>
    </w:r>
    <w:bookmarkStart w:id="5" w:name="ausgabedatum"/>
    <w:proofErr w:type="spellStart"/>
    <w:r>
      <w:t>datum</w:t>
    </w:r>
    <w:bookmarkEnd w:id="5"/>
    <w:proofErr w:type="spellEnd"/>
    <w:r w:rsidR="0003210D">
      <w:rPr>
        <w:noProof/>
        <w:lang w:eastAsia="de-DE"/>
      </w:rPr>
      <mc:AlternateContent>
        <mc:Choice Requires="wps">
          <w:drawing>
            <wp:anchor distT="6985" distB="6985" distL="6985" distR="6985" simplePos="0" relativeHeight="251667456" behindDoc="0" locked="0" layoutInCell="0" allowOverlap="1">
              <wp:simplePos x="0" y="0"/>
              <wp:positionH relativeFrom="margin">
                <wp:posOffset>2540</wp:posOffset>
              </wp:positionH>
              <wp:positionV relativeFrom="margin">
                <wp:posOffset>7773670</wp:posOffset>
              </wp:positionV>
              <wp:extent cx="5370830" cy="574040"/>
              <wp:effectExtent l="19050" t="19050" r="20320" b="1651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4040"/>
                      </a:xfrm>
                      <a:prstGeom prst="rect">
                        <a:avLst/>
                      </a:prstGeom>
                      <a:solidFill>
                        <a:schemeClr val="bg1"/>
                      </a:solidFill>
                      <a:ln w="38100" cmpd="dbl">
                        <a:solidFill>
                          <a:schemeClr val="tx1"/>
                        </a:solidFill>
                        <a:miter lim="800000"/>
                        <a:headEnd/>
                        <a:tailEnd/>
                      </a:ln>
                      <a:effectLst/>
                    </wps:spPr>
                    <wps:txbx>
                      <w:txbxContent>
                        <w:p w:rsidR="0030138E" w:rsidRPr="00DA4AE3" w:rsidRDefault="0030138E"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2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" o:allowincell="f" fillcolor="white [3212]" strokecolor="black [3213]" strokeweight="3pt">
              <v:stroke linestyle="thinThin"/>
              <o:lock v:ext="edit" aspectratio="t"/>
              <v:textbox style="mso-fit-shape-to-text:t" inset="1mm,.6mm,1mm,.6mm">
                <w:txbxContent>
                  <w:p w:rsidR="0030138E" w:rsidRPr="00DA4AE3" w:rsidRDefault="0030138E"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13" w:rsidRDefault="00C36013" w:rsidP="004F3971">
      <w:r>
        <w:separator/>
      </w:r>
    </w:p>
  </w:footnote>
  <w:footnote w:type="continuationSeparator" w:id="0">
    <w:p w:rsidR="00C36013" w:rsidRDefault="00C36013"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8E" w:rsidRDefault="0030138E" w:rsidP="00945E02">
    <w:pPr>
      <w:pStyle w:val="Kopfzeile"/>
      <w:spacing w:before="160"/>
      <w:rPr>
        <w:b/>
        <w:sz w:val="18"/>
      </w:rPr>
    </w:pPr>
    <w:r>
      <w:rPr>
        <w:b/>
        <w:sz w:val="18"/>
      </w:rPr>
      <w:t>LANDTAG NORDRHEIN-WESTFALEN - 16. Wahlperiode</w:t>
    </w:r>
    <w:r>
      <w:rPr>
        <w:b/>
        <w:sz w:val="18"/>
      </w:rPr>
      <w:tab/>
      <w:t>Drucksache 16/drnr</w:t>
    </w:r>
  </w:p>
  <w:p w:rsidR="0030138E" w:rsidRDefault="0030138E" w:rsidP="00CA3DD0">
    <w:pPr>
      <w:pStyle w:val="Kopfzeile"/>
      <w:spacing w:before="120"/>
      <w:rPr>
        <w:b/>
        <w:sz w:val="18"/>
      </w:rPr>
    </w:pPr>
  </w:p>
  <w:p w:rsidR="0030138E" w:rsidRDefault="0003210D" w:rsidP="00051DEA">
    <w:pPr>
      <w:pStyle w:val="Kopfzeile"/>
      <w:rPr>
        <w:b/>
        <w:sz w:val="18"/>
      </w:rPr>
    </w:pPr>
    <w:r>
      <w:rPr>
        <w:b/>
        <w:noProof/>
        <w:sz w:val="18"/>
        <w:lang w:eastAsia="de-DE"/>
      </w:rPr>
      <mc:AlternateContent>
        <mc:Choice Requires="wps">
          <w:drawing>
            <wp:anchor distT="4294967294" distB="4294967294" distL="114300" distR="114300" simplePos="0" relativeHeight="251663360"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8E" w:rsidRDefault="0030138E" w:rsidP="00945E02">
    <w:pPr>
      <w:pStyle w:val="Kopfzeile"/>
      <w:spacing w:before="160"/>
      <w:rPr>
        <w:b/>
        <w:sz w:val="18"/>
      </w:rPr>
    </w:pPr>
    <w:r>
      <w:rPr>
        <w:b/>
        <w:sz w:val="18"/>
      </w:rPr>
      <w:t>LANDTAG NORDRHEIN-WESTFALEN - 16. Wahlperiode</w:t>
    </w:r>
    <w:r>
      <w:rPr>
        <w:b/>
        <w:sz w:val="18"/>
      </w:rPr>
      <w:tab/>
      <w:t>Drucksache 16/drnr</w:t>
    </w:r>
  </w:p>
  <w:p w:rsidR="0030138E" w:rsidRDefault="0030138E" w:rsidP="00CA3DD0">
    <w:pPr>
      <w:pStyle w:val="Kopfzeile"/>
      <w:spacing w:before="120"/>
      <w:rPr>
        <w:b/>
        <w:sz w:val="18"/>
      </w:rPr>
    </w:pPr>
  </w:p>
  <w:p w:rsidR="0030138E" w:rsidRDefault="0003210D" w:rsidP="00051DEA">
    <w:pPr>
      <w:pStyle w:val="Kopfzeile"/>
      <w:rPr>
        <w:b/>
        <w:sz w:val="18"/>
      </w:rPr>
    </w:pPr>
    <w:r>
      <w:rPr>
        <w:b/>
        <w:noProof/>
        <w:sz w:val="18"/>
        <w:lang w:eastAsia="de-DE"/>
      </w:rPr>
      <mc:AlternateContent>
        <mc:Choice Requires="wps">
          <w:drawing>
            <wp:anchor distT="4294967294" distB="4294967294" distL="114300" distR="114300" simplePos="0" relativeHeight="251665408"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30138E" w:rsidRPr="004F3971">
      <w:tc>
        <w:tcPr>
          <w:tcW w:w="4605" w:type="dxa"/>
        </w:tcPr>
        <w:p w:rsidR="0030138E" w:rsidRPr="004F3971" w:rsidRDefault="0030138E"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Pr>
              <w:rFonts w:asciiTheme="minorHAnsi" w:hAnsiTheme="minorHAnsi" w:cstheme="minorHAnsi"/>
              <w:sz w:val="24"/>
              <w:szCs w:val="24"/>
            </w:rPr>
            <w:t>6</w:t>
          </w:r>
          <w:r w:rsidRPr="004F3971">
            <w:rPr>
              <w:rFonts w:asciiTheme="minorHAnsi" w:hAnsiTheme="minorHAnsi" w:cstheme="minorHAnsi"/>
              <w:sz w:val="24"/>
              <w:szCs w:val="24"/>
            </w:rPr>
            <w:t>. Wahlperiode</w:t>
          </w:r>
        </w:p>
        <w:p w:rsidR="0030138E" w:rsidRPr="004F3971" w:rsidRDefault="0030138E" w:rsidP="00214A9A">
          <w:pPr>
            <w:spacing w:before="180"/>
            <w:rPr>
              <w:rFonts w:asciiTheme="minorHAnsi" w:hAnsiTheme="minorHAnsi" w:cstheme="minorHAnsi"/>
            </w:rPr>
          </w:pPr>
        </w:p>
      </w:tc>
      <w:tc>
        <w:tcPr>
          <w:tcW w:w="4859" w:type="dxa"/>
        </w:tcPr>
        <w:p w:rsidR="0030138E" w:rsidRPr="004F3971" w:rsidRDefault="0030138E"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r w:rsidRPr="004F3971">
            <w:rPr>
              <w:rFonts w:asciiTheme="minorHAnsi" w:hAnsiTheme="minorHAnsi" w:cstheme="minorHAnsi"/>
              <w:b/>
              <w:sz w:val="44"/>
              <w:szCs w:val="44"/>
            </w:rPr>
            <w:t>Drnr</w:t>
          </w:r>
          <w:bookmarkEnd w:id="2"/>
        </w:p>
      </w:tc>
    </w:tr>
    <w:tr w:rsidR="0030138E" w:rsidRPr="004F3971">
      <w:tc>
        <w:tcPr>
          <w:tcW w:w="4605" w:type="dxa"/>
        </w:tcPr>
        <w:p w:rsidR="0030138E" w:rsidRPr="004F3971" w:rsidRDefault="0030138E" w:rsidP="00214A9A">
          <w:pPr>
            <w:rPr>
              <w:rFonts w:asciiTheme="minorHAnsi" w:hAnsiTheme="minorHAnsi" w:cstheme="minorHAnsi"/>
            </w:rPr>
          </w:pPr>
        </w:p>
      </w:tc>
      <w:tc>
        <w:tcPr>
          <w:tcW w:w="4859" w:type="dxa"/>
        </w:tcPr>
        <w:p w:rsidR="0030138E" w:rsidRPr="004F3971" w:rsidRDefault="0030138E" w:rsidP="00214A9A">
          <w:pPr>
            <w:jc w:val="right"/>
            <w:rPr>
              <w:rFonts w:asciiTheme="minorHAnsi" w:hAnsiTheme="minorHAnsi" w:cstheme="minorHAnsi"/>
              <w:sz w:val="24"/>
            </w:rPr>
          </w:pPr>
          <w:bookmarkStart w:id="3" w:name="datum"/>
          <w:r w:rsidRPr="004F3971">
            <w:rPr>
              <w:rFonts w:asciiTheme="minorHAnsi" w:hAnsiTheme="minorHAnsi" w:cstheme="minorHAnsi"/>
              <w:sz w:val="24"/>
            </w:rPr>
            <w:t>datum</w:t>
          </w:r>
          <w:bookmarkEnd w:id="3"/>
        </w:p>
      </w:tc>
    </w:tr>
  </w:tbl>
  <w:p w:rsidR="0030138E" w:rsidRDefault="0030138E"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5728"/>
    <w:multiLevelType w:val="hybridMultilevel"/>
    <w:tmpl w:val="2828D3FA"/>
    <w:lvl w:ilvl="0" w:tplc="F3405DA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8666FA"/>
    <w:multiLevelType w:val="hybridMultilevel"/>
    <w:tmpl w:val="9C2CACE8"/>
    <w:lvl w:ilvl="0" w:tplc="5CE0922E">
      <w:start w:val="3"/>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nsid w:val="233C5B61"/>
    <w:multiLevelType w:val="hybridMultilevel"/>
    <w:tmpl w:val="73A28270"/>
    <w:lvl w:ilvl="0" w:tplc="55A2ABA6">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30FC6D98"/>
    <w:multiLevelType w:val="hybridMultilevel"/>
    <w:tmpl w:val="8116C68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4F01212A"/>
    <w:multiLevelType w:val="hybridMultilevel"/>
    <w:tmpl w:val="17765FF2"/>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36D3C94"/>
    <w:multiLevelType w:val="hybridMultilevel"/>
    <w:tmpl w:val="766A58EA"/>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D6535FD"/>
    <w:multiLevelType w:val="hybridMultilevel"/>
    <w:tmpl w:val="843A1100"/>
    <w:lvl w:ilvl="0" w:tplc="5BE866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F37028C"/>
    <w:multiLevelType w:val="hybridMultilevel"/>
    <w:tmpl w:val="A4586E84"/>
    <w:lvl w:ilvl="0" w:tplc="B6AEBE50">
      <w:start w:val="3"/>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6F96141E"/>
    <w:multiLevelType w:val="hybridMultilevel"/>
    <w:tmpl w:val="ED8841C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70484498"/>
    <w:multiLevelType w:val="hybridMultilevel"/>
    <w:tmpl w:val="2D10442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1E112C3"/>
    <w:multiLevelType w:val="hybridMultilevel"/>
    <w:tmpl w:val="CA24426A"/>
    <w:lvl w:ilvl="0" w:tplc="0C070017">
      <w:start w:val="1"/>
      <w:numFmt w:val="lowerLetter"/>
      <w:lvlText w:val="%1)"/>
      <w:lvlJc w:val="left"/>
      <w:pPr>
        <w:ind w:left="46" w:hanging="360"/>
      </w:pPr>
    </w:lvl>
    <w:lvl w:ilvl="1" w:tplc="04070019" w:tentative="1">
      <w:start w:val="1"/>
      <w:numFmt w:val="lowerLetter"/>
      <w:lvlText w:val="%2."/>
      <w:lvlJc w:val="left"/>
      <w:pPr>
        <w:ind w:left="766" w:hanging="360"/>
      </w:pPr>
    </w:lvl>
    <w:lvl w:ilvl="2" w:tplc="0407001B" w:tentative="1">
      <w:start w:val="1"/>
      <w:numFmt w:val="lowerRoman"/>
      <w:lvlText w:val="%3."/>
      <w:lvlJc w:val="right"/>
      <w:pPr>
        <w:ind w:left="1486" w:hanging="180"/>
      </w:pPr>
    </w:lvl>
    <w:lvl w:ilvl="3" w:tplc="0407000F" w:tentative="1">
      <w:start w:val="1"/>
      <w:numFmt w:val="decimal"/>
      <w:lvlText w:val="%4."/>
      <w:lvlJc w:val="left"/>
      <w:pPr>
        <w:ind w:left="2206" w:hanging="360"/>
      </w:pPr>
    </w:lvl>
    <w:lvl w:ilvl="4" w:tplc="04070019" w:tentative="1">
      <w:start w:val="1"/>
      <w:numFmt w:val="lowerLetter"/>
      <w:lvlText w:val="%5."/>
      <w:lvlJc w:val="left"/>
      <w:pPr>
        <w:ind w:left="2926" w:hanging="360"/>
      </w:pPr>
    </w:lvl>
    <w:lvl w:ilvl="5" w:tplc="0407001B" w:tentative="1">
      <w:start w:val="1"/>
      <w:numFmt w:val="lowerRoman"/>
      <w:lvlText w:val="%6."/>
      <w:lvlJc w:val="right"/>
      <w:pPr>
        <w:ind w:left="3646" w:hanging="180"/>
      </w:pPr>
    </w:lvl>
    <w:lvl w:ilvl="6" w:tplc="0407000F" w:tentative="1">
      <w:start w:val="1"/>
      <w:numFmt w:val="decimal"/>
      <w:lvlText w:val="%7."/>
      <w:lvlJc w:val="left"/>
      <w:pPr>
        <w:ind w:left="4366" w:hanging="360"/>
      </w:pPr>
    </w:lvl>
    <w:lvl w:ilvl="7" w:tplc="04070019" w:tentative="1">
      <w:start w:val="1"/>
      <w:numFmt w:val="lowerLetter"/>
      <w:lvlText w:val="%8."/>
      <w:lvlJc w:val="left"/>
      <w:pPr>
        <w:ind w:left="5086" w:hanging="360"/>
      </w:pPr>
    </w:lvl>
    <w:lvl w:ilvl="8" w:tplc="0407001B" w:tentative="1">
      <w:start w:val="1"/>
      <w:numFmt w:val="lowerRoman"/>
      <w:lvlText w:val="%9."/>
      <w:lvlJc w:val="right"/>
      <w:pPr>
        <w:ind w:left="5806" w:hanging="180"/>
      </w:pPr>
    </w:lvl>
  </w:abstractNum>
  <w:abstractNum w:abstractNumId="11">
    <w:nsid w:val="77F54B39"/>
    <w:multiLevelType w:val="hybridMultilevel"/>
    <w:tmpl w:val="2D10442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1B6FAC"/>
    <w:multiLevelType w:val="hybridMultilevel"/>
    <w:tmpl w:val="865289D8"/>
    <w:lvl w:ilvl="0" w:tplc="EB8E63A8">
      <w:start w:val="3"/>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12"/>
  </w:num>
  <w:num w:numId="5">
    <w:abstractNumId w:val="7"/>
  </w:num>
  <w:num w:numId="6">
    <w:abstractNumId w:val="8"/>
  </w:num>
  <w:num w:numId="7">
    <w:abstractNumId w:val="0"/>
  </w:num>
  <w:num w:numId="8">
    <w:abstractNumId w:val="11"/>
  </w:num>
  <w:num w:numId="9">
    <w:abstractNumId w:val="9"/>
  </w:num>
  <w:num w:numId="10">
    <w:abstractNumId w:val="10"/>
  </w:num>
  <w:num w:numId="11">
    <w:abstractNumId w:val="2"/>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44E9"/>
    <w:rsid w:val="000121C1"/>
    <w:rsid w:val="00012ECC"/>
    <w:rsid w:val="00013F42"/>
    <w:rsid w:val="00015428"/>
    <w:rsid w:val="00020678"/>
    <w:rsid w:val="00020DB7"/>
    <w:rsid w:val="0002495A"/>
    <w:rsid w:val="00026561"/>
    <w:rsid w:val="000300FC"/>
    <w:rsid w:val="00031BCE"/>
    <w:rsid w:val="0003210D"/>
    <w:rsid w:val="00042B1A"/>
    <w:rsid w:val="00044994"/>
    <w:rsid w:val="00047A25"/>
    <w:rsid w:val="0005169F"/>
    <w:rsid w:val="00051DEA"/>
    <w:rsid w:val="00052794"/>
    <w:rsid w:val="00054534"/>
    <w:rsid w:val="00065534"/>
    <w:rsid w:val="00067920"/>
    <w:rsid w:val="00072014"/>
    <w:rsid w:val="000721A1"/>
    <w:rsid w:val="00074049"/>
    <w:rsid w:val="00075B74"/>
    <w:rsid w:val="0007659C"/>
    <w:rsid w:val="00090C91"/>
    <w:rsid w:val="00091ED2"/>
    <w:rsid w:val="000921A2"/>
    <w:rsid w:val="00092BE1"/>
    <w:rsid w:val="0009305F"/>
    <w:rsid w:val="00097B22"/>
    <w:rsid w:val="000A3BFD"/>
    <w:rsid w:val="000A5424"/>
    <w:rsid w:val="000A75FF"/>
    <w:rsid w:val="000A7C00"/>
    <w:rsid w:val="000B4D20"/>
    <w:rsid w:val="000B4E44"/>
    <w:rsid w:val="000B7084"/>
    <w:rsid w:val="000C0282"/>
    <w:rsid w:val="000C31F9"/>
    <w:rsid w:val="000C3682"/>
    <w:rsid w:val="000C58AF"/>
    <w:rsid w:val="000C68B8"/>
    <w:rsid w:val="000D0DEE"/>
    <w:rsid w:val="000D232D"/>
    <w:rsid w:val="000D4EEE"/>
    <w:rsid w:val="000D67E9"/>
    <w:rsid w:val="000D6C09"/>
    <w:rsid w:val="000F50EC"/>
    <w:rsid w:val="000F5786"/>
    <w:rsid w:val="000F64AE"/>
    <w:rsid w:val="00113A1A"/>
    <w:rsid w:val="00115521"/>
    <w:rsid w:val="0011712A"/>
    <w:rsid w:val="001209B9"/>
    <w:rsid w:val="001261F1"/>
    <w:rsid w:val="001277FB"/>
    <w:rsid w:val="00131860"/>
    <w:rsid w:val="00135671"/>
    <w:rsid w:val="00143D45"/>
    <w:rsid w:val="00150534"/>
    <w:rsid w:val="00150EB5"/>
    <w:rsid w:val="00151EB1"/>
    <w:rsid w:val="00153DA3"/>
    <w:rsid w:val="00154CD6"/>
    <w:rsid w:val="00166218"/>
    <w:rsid w:val="001701A6"/>
    <w:rsid w:val="001752CE"/>
    <w:rsid w:val="00182061"/>
    <w:rsid w:val="00184588"/>
    <w:rsid w:val="00184ED9"/>
    <w:rsid w:val="001A02F5"/>
    <w:rsid w:val="001A1BED"/>
    <w:rsid w:val="001A7E69"/>
    <w:rsid w:val="001C26E3"/>
    <w:rsid w:val="001D2909"/>
    <w:rsid w:val="001D53B7"/>
    <w:rsid w:val="001D6605"/>
    <w:rsid w:val="001E0BB6"/>
    <w:rsid w:val="001F0D2B"/>
    <w:rsid w:val="001F5EC1"/>
    <w:rsid w:val="00203FFC"/>
    <w:rsid w:val="002042DA"/>
    <w:rsid w:val="00214A9A"/>
    <w:rsid w:val="00217DC9"/>
    <w:rsid w:val="00221995"/>
    <w:rsid w:val="00224ACD"/>
    <w:rsid w:val="002266C4"/>
    <w:rsid w:val="00241D19"/>
    <w:rsid w:val="00243835"/>
    <w:rsid w:val="002479C7"/>
    <w:rsid w:val="0025079F"/>
    <w:rsid w:val="00257C87"/>
    <w:rsid w:val="00260113"/>
    <w:rsid w:val="00265B6B"/>
    <w:rsid w:val="002668E0"/>
    <w:rsid w:val="002679C3"/>
    <w:rsid w:val="0027642D"/>
    <w:rsid w:val="00276641"/>
    <w:rsid w:val="00283D7E"/>
    <w:rsid w:val="002A1401"/>
    <w:rsid w:val="002A2789"/>
    <w:rsid w:val="002A2FF9"/>
    <w:rsid w:val="002B4E5C"/>
    <w:rsid w:val="002B7727"/>
    <w:rsid w:val="002C1240"/>
    <w:rsid w:val="002D2F57"/>
    <w:rsid w:val="002D3D20"/>
    <w:rsid w:val="002D4919"/>
    <w:rsid w:val="002D76A6"/>
    <w:rsid w:val="002E1244"/>
    <w:rsid w:val="002E1C50"/>
    <w:rsid w:val="002F1414"/>
    <w:rsid w:val="002F262C"/>
    <w:rsid w:val="002F67BF"/>
    <w:rsid w:val="0030138E"/>
    <w:rsid w:val="003024D6"/>
    <w:rsid w:val="003032A0"/>
    <w:rsid w:val="00322FAC"/>
    <w:rsid w:val="00332D3C"/>
    <w:rsid w:val="00343254"/>
    <w:rsid w:val="003476CE"/>
    <w:rsid w:val="003508F8"/>
    <w:rsid w:val="00353C62"/>
    <w:rsid w:val="00353E7F"/>
    <w:rsid w:val="00356528"/>
    <w:rsid w:val="00356EA1"/>
    <w:rsid w:val="00363604"/>
    <w:rsid w:val="00363D26"/>
    <w:rsid w:val="003811D7"/>
    <w:rsid w:val="0038716B"/>
    <w:rsid w:val="00394B3E"/>
    <w:rsid w:val="0039676F"/>
    <w:rsid w:val="003A4875"/>
    <w:rsid w:val="003A4A75"/>
    <w:rsid w:val="003A7436"/>
    <w:rsid w:val="003B4466"/>
    <w:rsid w:val="003B6ACE"/>
    <w:rsid w:val="003B7060"/>
    <w:rsid w:val="003C0DC6"/>
    <w:rsid w:val="003C43F1"/>
    <w:rsid w:val="003C51F3"/>
    <w:rsid w:val="003D0996"/>
    <w:rsid w:val="003D1D95"/>
    <w:rsid w:val="003E3223"/>
    <w:rsid w:val="003E73F2"/>
    <w:rsid w:val="003F19EE"/>
    <w:rsid w:val="003F703E"/>
    <w:rsid w:val="003F7F71"/>
    <w:rsid w:val="004117BB"/>
    <w:rsid w:val="004129B2"/>
    <w:rsid w:val="00412B59"/>
    <w:rsid w:val="004132B5"/>
    <w:rsid w:val="00413406"/>
    <w:rsid w:val="004173D4"/>
    <w:rsid w:val="00426141"/>
    <w:rsid w:val="00426AB1"/>
    <w:rsid w:val="00443043"/>
    <w:rsid w:val="0044527F"/>
    <w:rsid w:val="0044568E"/>
    <w:rsid w:val="00454C0C"/>
    <w:rsid w:val="0045758A"/>
    <w:rsid w:val="004617FD"/>
    <w:rsid w:val="00463073"/>
    <w:rsid w:val="004651F7"/>
    <w:rsid w:val="00471C29"/>
    <w:rsid w:val="0047419B"/>
    <w:rsid w:val="004768EB"/>
    <w:rsid w:val="00485A6A"/>
    <w:rsid w:val="00486F51"/>
    <w:rsid w:val="004901DC"/>
    <w:rsid w:val="00494E5C"/>
    <w:rsid w:val="004A3474"/>
    <w:rsid w:val="004B3098"/>
    <w:rsid w:val="004C1878"/>
    <w:rsid w:val="004C359A"/>
    <w:rsid w:val="004C5452"/>
    <w:rsid w:val="004D1644"/>
    <w:rsid w:val="004D40DD"/>
    <w:rsid w:val="004D4277"/>
    <w:rsid w:val="004F0D59"/>
    <w:rsid w:val="004F3828"/>
    <w:rsid w:val="004F3971"/>
    <w:rsid w:val="00503829"/>
    <w:rsid w:val="00503A1A"/>
    <w:rsid w:val="00511E90"/>
    <w:rsid w:val="00512C01"/>
    <w:rsid w:val="005131D7"/>
    <w:rsid w:val="00516D6B"/>
    <w:rsid w:val="0052278E"/>
    <w:rsid w:val="00523986"/>
    <w:rsid w:val="00523C68"/>
    <w:rsid w:val="005300B2"/>
    <w:rsid w:val="00530885"/>
    <w:rsid w:val="005369FD"/>
    <w:rsid w:val="00565C02"/>
    <w:rsid w:val="00575BA8"/>
    <w:rsid w:val="00593121"/>
    <w:rsid w:val="005976C0"/>
    <w:rsid w:val="005A339C"/>
    <w:rsid w:val="005A56E8"/>
    <w:rsid w:val="005A6A7C"/>
    <w:rsid w:val="005A7D22"/>
    <w:rsid w:val="005B33D0"/>
    <w:rsid w:val="005C15C6"/>
    <w:rsid w:val="005D0839"/>
    <w:rsid w:val="005D4D7C"/>
    <w:rsid w:val="005E3E8B"/>
    <w:rsid w:val="005F5157"/>
    <w:rsid w:val="0060494E"/>
    <w:rsid w:val="0060726A"/>
    <w:rsid w:val="00612074"/>
    <w:rsid w:val="00615A7A"/>
    <w:rsid w:val="006171CF"/>
    <w:rsid w:val="00621AF6"/>
    <w:rsid w:val="00621B70"/>
    <w:rsid w:val="00626ACC"/>
    <w:rsid w:val="00630582"/>
    <w:rsid w:val="006410C3"/>
    <w:rsid w:val="006423BE"/>
    <w:rsid w:val="0064270A"/>
    <w:rsid w:val="00642B52"/>
    <w:rsid w:val="0064752E"/>
    <w:rsid w:val="006555C8"/>
    <w:rsid w:val="00655B3F"/>
    <w:rsid w:val="00656AC8"/>
    <w:rsid w:val="00656DE9"/>
    <w:rsid w:val="00660742"/>
    <w:rsid w:val="0066518C"/>
    <w:rsid w:val="00667A84"/>
    <w:rsid w:val="0067240B"/>
    <w:rsid w:val="00676D70"/>
    <w:rsid w:val="00693AC6"/>
    <w:rsid w:val="006961FF"/>
    <w:rsid w:val="00696F4D"/>
    <w:rsid w:val="006A1C18"/>
    <w:rsid w:val="006A4F78"/>
    <w:rsid w:val="006B0501"/>
    <w:rsid w:val="006B52A8"/>
    <w:rsid w:val="006C1B93"/>
    <w:rsid w:val="006C3EC5"/>
    <w:rsid w:val="006C6A18"/>
    <w:rsid w:val="006D0D61"/>
    <w:rsid w:val="006D1E5B"/>
    <w:rsid w:val="006E10D8"/>
    <w:rsid w:val="006E3315"/>
    <w:rsid w:val="006F12A1"/>
    <w:rsid w:val="006F4F98"/>
    <w:rsid w:val="00701621"/>
    <w:rsid w:val="00702730"/>
    <w:rsid w:val="0070592C"/>
    <w:rsid w:val="0071563C"/>
    <w:rsid w:val="00715651"/>
    <w:rsid w:val="007161B0"/>
    <w:rsid w:val="00720CDC"/>
    <w:rsid w:val="00721847"/>
    <w:rsid w:val="00721D8F"/>
    <w:rsid w:val="00730E3F"/>
    <w:rsid w:val="00733201"/>
    <w:rsid w:val="007349CA"/>
    <w:rsid w:val="00740AA0"/>
    <w:rsid w:val="00741778"/>
    <w:rsid w:val="00741DC0"/>
    <w:rsid w:val="00747878"/>
    <w:rsid w:val="007520A6"/>
    <w:rsid w:val="007548C9"/>
    <w:rsid w:val="00755E14"/>
    <w:rsid w:val="00757D94"/>
    <w:rsid w:val="00762009"/>
    <w:rsid w:val="007640FC"/>
    <w:rsid w:val="00766AED"/>
    <w:rsid w:val="00767280"/>
    <w:rsid w:val="007758E6"/>
    <w:rsid w:val="0077657A"/>
    <w:rsid w:val="007768FA"/>
    <w:rsid w:val="007814FD"/>
    <w:rsid w:val="007942AA"/>
    <w:rsid w:val="007A0A3E"/>
    <w:rsid w:val="007A14AF"/>
    <w:rsid w:val="007A3323"/>
    <w:rsid w:val="007A49FA"/>
    <w:rsid w:val="007B2EA5"/>
    <w:rsid w:val="007B4628"/>
    <w:rsid w:val="007C149D"/>
    <w:rsid w:val="007C2A32"/>
    <w:rsid w:val="007C4C62"/>
    <w:rsid w:val="007C5EA3"/>
    <w:rsid w:val="007D57D1"/>
    <w:rsid w:val="007E4137"/>
    <w:rsid w:val="007E5C6E"/>
    <w:rsid w:val="008076F1"/>
    <w:rsid w:val="008105EA"/>
    <w:rsid w:val="00813E4A"/>
    <w:rsid w:val="00813EDD"/>
    <w:rsid w:val="00820A9D"/>
    <w:rsid w:val="008258B9"/>
    <w:rsid w:val="00826F07"/>
    <w:rsid w:val="00835CCC"/>
    <w:rsid w:val="00836A72"/>
    <w:rsid w:val="00842A0B"/>
    <w:rsid w:val="00844197"/>
    <w:rsid w:val="00844371"/>
    <w:rsid w:val="00871591"/>
    <w:rsid w:val="00871F4D"/>
    <w:rsid w:val="008919A5"/>
    <w:rsid w:val="00891D57"/>
    <w:rsid w:val="008958AA"/>
    <w:rsid w:val="008A2C55"/>
    <w:rsid w:val="008A5829"/>
    <w:rsid w:val="008B0093"/>
    <w:rsid w:val="008B19AE"/>
    <w:rsid w:val="008C381C"/>
    <w:rsid w:val="008C5593"/>
    <w:rsid w:val="008C58EA"/>
    <w:rsid w:val="008D523C"/>
    <w:rsid w:val="008E18E8"/>
    <w:rsid w:val="008E440C"/>
    <w:rsid w:val="008E569B"/>
    <w:rsid w:val="008E6617"/>
    <w:rsid w:val="008E68B5"/>
    <w:rsid w:val="008F587B"/>
    <w:rsid w:val="00902419"/>
    <w:rsid w:val="009053AB"/>
    <w:rsid w:val="00906DB3"/>
    <w:rsid w:val="0092026B"/>
    <w:rsid w:val="009221D2"/>
    <w:rsid w:val="009276B2"/>
    <w:rsid w:val="00927992"/>
    <w:rsid w:val="009300CB"/>
    <w:rsid w:val="0093027E"/>
    <w:rsid w:val="009422D8"/>
    <w:rsid w:val="00945E02"/>
    <w:rsid w:val="00952C84"/>
    <w:rsid w:val="00960B23"/>
    <w:rsid w:val="00971FD1"/>
    <w:rsid w:val="009744A2"/>
    <w:rsid w:val="00977534"/>
    <w:rsid w:val="00987888"/>
    <w:rsid w:val="00991A11"/>
    <w:rsid w:val="0099305C"/>
    <w:rsid w:val="00993E38"/>
    <w:rsid w:val="009A10F0"/>
    <w:rsid w:val="009A2335"/>
    <w:rsid w:val="009A3154"/>
    <w:rsid w:val="009A3810"/>
    <w:rsid w:val="009A58C8"/>
    <w:rsid w:val="009B17C7"/>
    <w:rsid w:val="009B2EF8"/>
    <w:rsid w:val="009C34C2"/>
    <w:rsid w:val="009D1349"/>
    <w:rsid w:val="009D3B9E"/>
    <w:rsid w:val="009D403B"/>
    <w:rsid w:val="009D472A"/>
    <w:rsid w:val="009E132D"/>
    <w:rsid w:val="009E1ED5"/>
    <w:rsid w:val="009E5044"/>
    <w:rsid w:val="00A04D4E"/>
    <w:rsid w:val="00A100BD"/>
    <w:rsid w:val="00A107BE"/>
    <w:rsid w:val="00A10E2B"/>
    <w:rsid w:val="00A11E1A"/>
    <w:rsid w:val="00A2774A"/>
    <w:rsid w:val="00A30BC1"/>
    <w:rsid w:val="00A30CF3"/>
    <w:rsid w:val="00A3471D"/>
    <w:rsid w:val="00A37772"/>
    <w:rsid w:val="00A42AD9"/>
    <w:rsid w:val="00A46E0A"/>
    <w:rsid w:val="00A4734A"/>
    <w:rsid w:val="00A50AEF"/>
    <w:rsid w:val="00A56DB3"/>
    <w:rsid w:val="00A602A9"/>
    <w:rsid w:val="00A62FC0"/>
    <w:rsid w:val="00A7044B"/>
    <w:rsid w:val="00A72A33"/>
    <w:rsid w:val="00A75140"/>
    <w:rsid w:val="00A7739D"/>
    <w:rsid w:val="00A77579"/>
    <w:rsid w:val="00AA2283"/>
    <w:rsid w:val="00AA3043"/>
    <w:rsid w:val="00AA4116"/>
    <w:rsid w:val="00AB184B"/>
    <w:rsid w:val="00AC414D"/>
    <w:rsid w:val="00AC4ABC"/>
    <w:rsid w:val="00AC4F97"/>
    <w:rsid w:val="00AC546A"/>
    <w:rsid w:val="00AD3FDF"/>
    <w:rsid w:val="00AD7D93"/>
    <w:rsid w:val="00B00767"/>
    <w:rsid w:val="00B13240"/>
    <w:rsid w:val="00B212DB"/>
    <w:rsid w:val="00B220F5"/>
    <w:rsid w:val="00B25870"/>
    <w:rsid w:val="00B27D24"/>
    <w:rsid w:val="00B31A69"/>
    <w:rsid w:val="00B36BBC"/>
    <w:rsid w:val="00B55DA6"/>
    <w:rsid w:val="00B630EC"/>
    <w:rsid w:val="00B64075"/>
    <w:rsid w:val="00B65240"/>
    <w:rsid w:val="00B66305"/>
    <w:rsid w:val="00B67F94"/>
    <w:rsid w:val="00B705FF"/>
    <w:rsid w:val="00B76113"/>
    <w:rsid w:val="00B7622C"/>
    <w:rsid w:val="00B83F48"/>
    <w:rsid w:val="00B941E6"/>
    <w:rsid w:val="00B96691"/>
    <w:rsid w:val="00BA1D10"/>
    <w:rsid w:val="00BA3A0D"/>
    <w:rsid w:val="00BA4796"/>
    <w:rsid w:val="00BA626F"/>
    <w:rsid w:val="00BA6689"/>
    <w:rsid w:val="00BA7A5B"/>
    <w:rsid w:val="00BB23D9"/>
    <w:rsid w:val="00BB7F89"/>
    <w:rsid w:val="00BC0D41"/>
    <w:rsid w:val="00BC2512"/>
    <w:rsid w:val="00BD6473"/>
    <w:rsid w:val="00BD72BB"/>
    <w:rsid w:val="00BE4BBF"/>
    <w:rsid w:val="00BF1876"/>
    <w:rsid w:val="00BF2BB5"/>
    <w:rsid w:val="00BF4E74"/>
    <w:rsid w:val="00BF6354"/>
    <w:rsid w:val="00C03BFD"/>
    <w:rsid w:val="00C12E04"/>
    <w:rsid w:val="00C13F5F"/>
    <w:rsid w:val="00C155EA"/>
    <w:rsid w:val="00C1597C"/>
    <w:rsid w:val="00C20116"/>
    <w:rsid w:val="00C2623C"/>
    <w:rsid w:val="00C31015"/>
    <w:rsid w:val="00C350E3"/>
    <w:rsid w:val="00C36013"/>
    <w:rsid w:val="00C4079F"/>
    <w:rsid w:val="00C425F3"/>
    <w:rsid w:val="00C42B19"/>
    <w:rsid w:val="00C4476A"/>
    <w:rsid w:val="00C51E88"/>
    <w:rsid w:val="00C52209"/>
    <w:rsid w:val="00C55880"/>
    <w:rsid w:val="00C61F3F"/>
    <w:rsid w:val="00C65952"/>
    <w:rsid w:val="00C66D56"/>
    <w:rsid w:val="00C6725B"/>
    <w:rsid w:val="00C6790C"/>
    <w:rsid w:val="00C73FF7"/>
    <w:rsid w:val="00C77149"/>
    <w:rsid w:val="00C830E0"/>
    <w:rsid w:val="00C84E40"/>
    <w:rsid w:val="00C93376"/>
    <w:rsid w:val="00C96EBE"/>
    <w:rsid w:val="00C9770B"/>
    <w:rsid w:val="00CA3DD0"/>
    <w:rsid w:val="00CA602D"/>
    <w:rsid w:val="00CA62F6"/>
    <w:rsid w:val="00CA773B"/>
    <w:rsid w:val="00CB12D8"/>
    <w:rsid w:val="00CC45BE"/>
    <w:rsid w:val="00CD2AF7"/>
    <w:rsid w:val="00CF3257"/>
    <w:rsid w:val="00CF5B5D"/>
    <w:rsid w:val="00D04BFF"/>
    <w:rsid w:val="00D05A17"/>
    <w:rsid w:val="00D307A5"/>
    <w:rsid w:val="00D32A48"/>
    <w:rsid w:val="00D343C7"/>
    <w:rsid w:val="00D354E5"/>
    <w:rsid w:val="00D37CD9"/>
    <w:rsid w:val="00D566F1"/>
    <w:rsid w:val="00D66051"/>
    <w:rsid w:val="00D713E3"/>
    <w:rsid w:val="00D719F4"/>
    <w:rsid w:val="00D740A7"/>
    <w:rsid w:val="00D751D3"/>
    <w:rsid w:val="00D77D72"/>
    <w:rsid w:val="00D80503"/>
    <w:rsid w:val="00DA4AE3"/>
    <w:rsid w:val="00DA7C3D"/>
    <w:rsid w:val="00DB12AF"/>
    <w:rsid w:val="00DB5BE4"/>
    <w:rsid w:val="00DB67F7"/>
    <w:rsid w:val="00DC061B"/>
    <w:rsid w:val="00DE02F4"/>
    <w:rsid w:val="00DF536E"/>
    <w:rsid w:val="00E03CEF"/>
    <w:rsid w:val="00E0656B"/>
    <w:rsid w:val="00E0726F"/>
    <w:rsid w:val="00E14A9E"/>
    <w:rsid w:val="00E177CD"/>
    <w:rsid w:val="00E22D8D"/>
    <w:rsid w:val="00E255D7"/>
    <w:rsid w:val="00E25ABF"/>
    <w:rsid w:val="00E26CAC"/>
    <w:rsid w:val="00E2754F"/>
    <w:rsid w:val="00E359FE"/>
    <w:rsid w:val="00E52568"/>
    <w:rsid w:val="00E5708B"/>
    <w:rsid w:val="00E57388"/>
    <w:rsid w:val="00E606BF"/>
    <w:rsid w:val="00E6474E"/>
    <w:rsid w:val="00E736BF"/>
    <w:rsid w:val="00E73B4E"/>
    <w:rsid w:val="00E7646B"/>
    <w:rsid w:val="00E813E1"/>
    <w:rsid w:val="00E82FA6"/>
    <w:rsid w:val="00E937BB"/>
    <w:rsid w:val="00E9452F"/>
    <w:rsid w:val="00E97364"/>
    <w:rsid w:val="00EA16D2"/>
    <w:rsid w:val="00EA467D"/>
    <w:rsid w:val="00EA6465"/>
    <w:rsid w:val="00EB7D41"/>
    <w:rsid w:val="00EC1D5E"/>
    <w:rsid w:val="00EC2EC3"/>
    <w:rsid w:val="00ED79EC"/>
    <w:rsid w:val="00EE07F9"/>
    <w:rsid w:val="00EE3C69"/>
    <w:rsid w:val="00EE6890"/>
    <w:rsid w:val="00EF523E"/>
    <w:rsid w:val="00F02978"/>
    <w:rsid w:val="00F037DF"/>
    <w:rsid w:val="00F12018"/>
    <w:rsid w:val="00F17ACF"/>
    <w:rsid w:val="00F31C95"/>
    <w:rsid w:val="00F32565"/>
    <w:rsid w:val="00F3700D"/>
    <w:rsid w:val="00F3710A"/>
    <w:rsid w:val="00F44640"/>
    <w:rsid w:val="00F4556B"/>
    <w:rsid w:val="00F45E26"/>
    <w:rsid w:val="00F47F6A"/>
    <w:rsid w:val="00F54D45"/>
    <w:rsid w:val="00F62A0F"/>
    <w:rsid w:val="00F64119"/>
    <w:rsid w:val="00F64646"/>
    <w:rsid w:val="00F71357"/>
    <w:rsid w:val="00F91985"/>
    <w:rsid w:val="00F94839"/>
    <w:rsid w:val="00F976F6"/>
    <w:rsid w:val="00F97808"/>
    <w:rsid w:val="00FA1D1A"/>
    <w:rsid w:val="00FB6623"/>
    <w:rsid w:val="00FC41B4"/>
    <w:rsid w:val="00FC5680"/>
    <w:rsid w:val="00FD3E8F"/>
    <w:rsid w:val="00FD4596"/>
    <w:rsid w:val="00FD6D2B"/>
    <w:rsid w:val="00FE315E"/>
    <w:rsid w:val="00FE4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338C-7D9A-4ADF-8AB5-91D6EEE2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4</Pages>
  <Words>1606</Words>
  <Characters>10125</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vt:lpstr>
      <vt:lpstr>Antrag</vt:lpstr>
    </vt:vector>
  </TitlesOfParts>
  <Company>Landtag NRW</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Thies, Björn (PIRATEN)</cp:lastModifiedBy>
  <cp:revision>2</cp:revision>
  <cp:lastPrinted>2013-04-29T10:42:00Z</cp:lastPrinted>
  <dcterms:created xsi:type="dcterms:W3CDTF">2013-05-07T10:30:00Z</dcterms:created>
  <dcterms:modified xsi:type="dcterms:W3CDTF">2013-05-07T10:30:00Z</dcterms:modified>
</cp:coreProperties>
</file>